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E455C" w:rsidP="0013173D">
      <w:pPr>
        <w:pStyle w:val="Date"/>
        <w:spacing w:before="1440"/>
      </w:pPr>
      <w:r w:rsidRPr="007755C6">
        <w:rPr>
          <w:highlight w:val="yellow"/>
        </w:rPr>
        <w:t>XX</w:t>
      </w:r>
      <w:r w:rsidR="00B75647">
        <w:t xml:space="preserve"> November </w:t>
      </w:r>
      <w:r w:rsidRPr="00F45391" w:rsidR="00B82095">
        <w:t>20</w:t>
      </w:r>
      <w:r w:rsidRPr="00F45391" w:rsidR="00F41203">
        <w:t>2</w:t>
      </w:r>
      <w:r w:rsidRPr="00F45391" w:rsidR="00A0018B">
        <w:t>3</w:t>
      </w:r>
    </w:p>
    <w:p w:rsidR="00B82095" w:rsidRPr="005539E9" w:rsidP="005539E9">
      <w:pPr>
        <w:pStyle w:val="Heading1"/>
      </w:pPr>
      <w:r w:rsidRPr="005539E9">
        <w:t>2023 Update to the Australian Standards for the Export of Livestock (ASEL)</w:t>
      </w:r>
      <w:r w:rsidRPr="005539E9" w:rsidR="00F41203">
        <w:t xml:space="preserve">: </w:t>
      </w:r>
      <w:r w:rsidRPr="001C3F20" w:rsidR="00C40F29">
        <w:rPr>
          <w:i/>
          <w:iCs/>
        </w:rPr>
        <w:t xml:space="preserve">Thematic summary and department </w:t>
      </w:r>
      <w:r w:rsidR="00C40F29">
        <w:t>r</w:t>
      </w:r>
      <w:r w:rsidRPr="005539E9" w:rsidR="00BB4371">
        <w:rPr>
          <w:i/>
          <w:iCs/>
        </w:rPr>
        <w:t>esponse</w:t>
      </w:r>
    </w:p>
    <w:p w:rsidR="00BB4371" w:rsidP="00BB4371">
      <w:pPr>
        <w:tabs>
          <w:tab w:val="left" w:pos="6135"/>
        </w:tabs>
        <w:rPr>
          <w:rFonts w:cs="Arial"/>
        </w:rPr>
      </w:pPr>
      <w:r>
        <w:rPr>
          <w:rFonts w:cs="Arial"/>
        </w:rPr>
        <w:t xml:space="preserve">The 2023 ASEL update has now concluded. ASEL version 3.3 </w:t>
      </w:r>
      <w:r w:rsidR="008A6EA1">
        <w:rPr>
          <w:rFonts w:cs="Arial"/>
        </w:rPr>
        <w:t xml:space="preserve">was </w:t>
      </w:r>
      <w:r>
        <w:rPr>
          <w:rFonts w:cs="Arial"/>
        </w:rPr>
        <w:t>published on 30 November 2023.</w:t>
      </w:r>
    </w:p>
    <w:p w:rsidR="00BB4371" w:rsidRPr="00A34BF5" w:rsidP="00BB4371">
      <w:pPr>
        <w:tabs>
          <w:tab w:val="left" w:pos="6135"/>
        </w:tabs>
        <w:rPr>
          <w:rFonts w:cs="Arial"/>
        </w:rPr>
      </w:pPr>
      <w:r>
        <w:rPr>
          <w:rFonts w:cs="Arial"/>
        </w:rPr>
        <w:t xml:space="preserve">The update </w:t>
      </w:r>
      <w:r w:rsidRPr="00C3535D">
        <w:rPr>
          <w:rFonts w:cs="Arial"/>
        </w:rPr>
        <w:t xml:space="preserve">addressed matters raised by stakeholders relating to the export of livestock by both sea and air and proposed </w:t>
      </w:r>
      <w:r>
        <w:rPr>
          <w:rFonts w:cs="Arial"/>
        </w:rPr>
        <w:t>amendments</w:t>
      </w:r>
      <w:r w:rsidRPr="00C3535D">
        <w:rPr>
          <w:rFonts w:cs="Arial"/>
        </w:rPr>
        <w:t xml:space="preserve"> to maintain or improve animal health and welfare outcomes, </w:t>
      </w:r>
      <w:r>
        <w:rPr>
          <w:rFonts w:cs="Arial"/>
        </w:rPr>
        <w:t xml:space="preserve">update definitions and </w:t>
      </w:r>
      <w:r w:rsidRPr="00C3535D">
        <w:rPr>
          <w:rFonts w:cs="Arial"/>
        </w:rPr>
        <w:t>improve clarity and usability</w:t>
      </w:r>
      <w:r>
        <w:rPr>
          <w:rFonts w:cs="Arial"/>
        </w:rPr>
        <w:t xml:space="preserve"> of the </w:t>
      </w:r>
      <w:r w:rsidR="002D46E0">
        <w:rPr>
          <w:rFonts w:cs="Arial"/>
        </w:rPr>
        <w:t>standards</w:t>
      </w:r>
      <w:r w:rsidRPr="00C3535D">
        <w:rPr>
          <w:rFonts w:cs="Arial"/>
        </w:rPr>
        <w:t>.</w:t>
      </w:r>
    </w:p>
    <w:p w:rsidR="00BB4371" w:rsidP="00BB4371">
      <w:pPr>
        <w:tabs>
          <w:tab w:val="left" w:pos="6135"/>
        </w:tabs>
      </w:pPr>
      <w:r>
        <w:t>During the 2023 ASEL update, t</w:t>
      </w:r>
      <w:r w:rsidRPr="00734B28">
        <w:t xml:space="preserve">he department undertook </w:t>
      </w:r>
      <w:r>
        <w:t xml:space="preserve">targeted and public consultation with internal and external stakeholders. This </w:t>
      </w:r>
      <w:r w:rsidR="00A5071E">
        <w:t xml:space="preserve">included </w:t>
      </w:r>
      <w:r w:rsidRPr="00734B28">
        <w:t xml:space="preserve">6 weeks of public consultation </w:t>
      </w:r>
      <w:r>
        <w:t xml:space="preserve">from 26 June to 4 August 2023. </w:t>
      </w:r>
      <w:r w:rsidR="0054307A">
        <w:t>The department received</w:t>
      </w:r>
      <w:r>
        <w:rPr>
          <w:lang w:val="en-US"/>
        </w:rPr>
        <w:t xml:space="preserve"> </w:t>
      </w:r>
      <w:r w:rsidR="00A5071E">
        <w:rPr>
          <w:lang w:val="en-US"/>
        </w:rPr>
        <w:t xml:space="preserve">33 submissions </w:t>
      </w:r>
      <w:r w:rsidR="0054307A">
        <w:rPr>
          <w:lang w:val="en-US"/>
        </w:rPr>
        <w:t xml:space="preserve">during public consultation </w:t>
      </w:r>
      <w:r>
        <w:rPr>
          <w:lang w:val="en-US"/>
        </w:rPr>
        <w:t xml:space="preserve">from a range of stakeholders including animal welfare </w:t>
      </w:r>
      <w:r w:rsidRPr="001F5DDD">
        <w:t>organisations</w:t>
      </w:r>
      <w:r>
        <w:rPr>
          <w:lang w:val="en-US"/>
        </w:rPr>
        <w:t>, exporters, industry groups, producers, registered establishment occupiers and members of the public. Where appropriate, the proposed amendments</w:t>
      </w:r>
      <w:r>
        <w:t xml:space="preserve"> were clarified and modified in response to feedback.</w:t>
      </w:r>
    </w:p>
    <w:p w:rsidR="00BB4371" w:rsidP="00BB4371">
      <w:r>
        <w:t>Some feedback contained</w:t>
      </w:r>
      <w:r>
        <w:rPr>
          <w:rFonts w:cstheme="minorHAnsi"/>
        </w:rPr>
        <w:t xml:space="preserve"> suggestions that were out-of-scope of the 2023 ASEL update. These suggestions have been recorded and will be considered in future ASEL reviews.</w:t>
      </w:r>
    </w:p>
    <w:p w:rsidR="00BB4371" w:rsidP="001C3F20">
      <w:pPr>
        <w:pStyle w:val="Heading2"/>
      </w:pPr>
      <w:r w:rsidRPr="0065743C">
        <w:t>Stakeholder feedback</w:t>
      </w:r>
      <w:r>
        <w:t xml:space="preserve"> and department response</w:t>
      </w:r>
    </w:p>
    <w:p w:rsidR="00BB4371" w:rsidP="00BB4371">
      <w:pPr>
        <w:tabs>
          <w:tab w:val="left" w:pos="6135"/>
        </w:tabs>
      </w:pPr>
      <w:r>
        <w:t xml:space="preserve">For each matter </w:t>
      </w:r>
      <w:r>
        <w:t>considered in the 2023 ASEL update, a</w:t>
      </w:r>
      <w:r w:rsidR="003B1BA7">
        <w:t xml:space="preserve"> summary </w:t>
      </w:r>
      <w:r w:rsidRPr="00C04702" w:rsidR="003B1BA7">
        <w:t xml:space="preserve">of </w:t>
      </w:r>
      <w:r w:rsidR="005F35A3">
        <w:t xml:space="preserve">de-identified </w:t>
      </w:r>
      <w:r w:rsidR="003B1BA7">
        <w:t xml:space="preserve">feedback </w:t>
      </w:r>
      <w:r w:rsidR="005F35A3">
        <w:t xml:space="preserve">received </w:t>
      </w:r>
      <w:r w:rsidR="003B1BA7">
        <w:t>during consultation</w:t>
      </w:r>
      <w:r w:rsidR="005F35A3">
        <w:t xml:space="preserve"> is provided in the boxes </w:t>
      </w:r>
      <w:r w:rsidR="00A5071E">
        <w:t>in this document</w:t>
      </w:r>
      <w:r>
        <w:t xml:space="preserve">, followed by the department’s response to feedback. </w:t>
      </w:r>
      <w:r w:rsidR="005F35A3">
        <w:t xml:space="preserve">The </w:t>
      </w:r>
      <w:r w:rsidR="00384251">
        <w:t xml:space="preserve">text </w:t>
      </w:r>
      <w:r w:rsidR="005F35A3">
        <w:t>also outline</w:t>
      </w:r>
      <w:r w:rsidR="00384251">
        <w:t>s</w:t>
      </w:r>
      <w:r w:rsidR="005F35A3">
        <w:t xml:space="preserve"> any actions taken to clarify or modify the proposed amendments, where appropriate.</w:t>
      </w:r>
    </w:p>
    <w:p w:rsidR="005F35A3" w:rsidP="00BB4371">
      <w:pPr>
        <w:tabs>
          <w:tab w:val="left" w:pos="6135"/>
        </w:tabs>
      </w:pPr>
      <w:r>
        <w:t>The amended standard for ASEL 3.3 is then provided.</w:t>
      </w:r>
    </w:p>
    <w:p w:rsidR="00974062">
      <w:pPr>
        <w:spacing w:after="0" w:line="240" w:lineRule="auto"/>
      </w:pPr>
      <w:r>
        <w:br w:type="page"/>
      </w:r>
    </w:p>
    <w:p w:rsidR="00AE38AD" w:rsidRPr="005539E9" w:rsidP="001C3F20">
      <w:pPr>
        <w:pStyle w:val="Heading1"/>
      </w:pPr>
      <w:r w:rsidRPr="005539E9">
        <w:t>Finalised amendments to the ASEL standards for the 2023 update</w:t>
      </w:r>
    </w:p>
    <w:p w:rsidR="005F35A3" w:rsidP="001C3F20">
      <w:pPr>
        <w:pStyle w:val="Heading2"/>
      </w:pPr>
      <w:r w:rsidRPr="00D06826">
        <w:t xml:space="preserve">Livestock marking and isolation practices in </w:t>
      </w:r>
      <w:r w:rsidRPr="00D06826" w:rsidR="00547FD1">
        <w:t xml:space="preserve">a </w:t>
      </w:r>
      <w:r w:rsidRPr="00D06826">
        <w:t>Registered Establishment</w:t>
      </w:r>
    </w:p>
    <w:p w:rsidR="00A5071E" w:rsidP="00A5071E">
      <w:pPr>
        <w:pStyle w:val="BoxHeading"/>
      </w:pPr>
      <w:r w:rsidRPr="008D2AA5">
        <w:t xml:space="preserve">Summary of </w:t>
      </w:r>
      <w:r>
        <w:t>feedback:</w:t>
      </w:r>
    </w:p>
    <w:p w:rsidR="00A5071E" w:rsidRPr="00EB4F98" w:rsidP="00BA1C68">
      <w:pPr>
        <w:pStyle w:val="BoxText"/>
      </w:pPr>
      <w:r>
        <w:t>Feedback in this matter was varied. I</w:t>
      </w:r>
      <w:r w:rsidRPr="00EB4F98">
        <w:t xml:space="preserve">ndustry </w:t>
      </w:r>
      <w:r>
        <w:t xml:space="preserve">was </w:t>
      </w:r>
      <w:r w:rsidRPr="00EB4F98">
        <w:t>generally support</w:t>
      </w:r>
      <w:r>
        <w:t>ive of</w:t>
      </w:r>
      <w:r w:rsidRPr="00EB4F98">
        <w:t xml:space="preserve"> the intent of the </w:t>
      </w:r>
      <w:r>
        <w:t>amendments</w:t>
      </w:r>
      <w:r w:rsidRPr="00EB4F98">
        <w:t xml:space="preserve">, acknowledging the proposed changes aim to balance the welfare risks of individually marking and isolating rejected animals </w:t>
      </w:r>
      <w:r>
        <w:t>with</w:t>
      </w:r>
      <w:r w:rsidRPr="00EB4F98">
        <w:t xml:space="preserve"> the risk of inclusion of rejected animals in an export consignment. </w:t>
      </w:r>
      <w:r>
        <w:t>There was concern, however, that</w:t>
      </w:r>
      <w:r w:rsidRPr="00EB4F98">
        <w:t xml:space="preserve"> the </w:t>
      </w:r>
      <w:r>
        <w:t>amendments</w:t>
      </w:r>
      <w:r w:rsidRPr="00EB4F98">
        <w:t xml:space="preserve"> may still create unnecessary handling events</w:t>
      </w:r>
      <w:r>
        <w:t>, for example, the requirement to mark rejected animals ‘upon identification’. Some feedback suggested marking</w:t>
      </w:r>
      <w:r w:rsidRPr="00EB4F98">
        <w:t xml:space="preserve"> at one of the quality assurance points</w:t>
      </w:r>
      <w:r>
        <w:t>, stating</w:t>
      </w:r>
      <w:r w:rsidRPr="00EB4F98">
        <w:t xml:space="preserve"> this </w:t>
      </w:r>
      <w:r>
        <w:t>was</w:t>
      </w:r>
      <w:r w:rsidRPr="00EB4F98">
        <w:t xml:space="preserve"> more practical and allow</w:t>
      </w:r>
      <w:r>
        <w:t>ed</w:t>
      </w:r>
      <w:r w:rsidRPr="00EB4F98">
        <w:t xml:space="preserve"> </w:t>
      </w:r>
      <w:r>
        <w:t xml:space="preserve">for </w:t>
      </w:r>
      <w:r w:rsidRPr="00EB4F98">
        <w:t>differentiation around the urgency of the situation in relation to animal welfare.</w:t>
      </w:r>
    </w:p>
    <w:p w:rsidR="00A5071E" w:rsidP="00BA1C68">
      <w:pPr>
        <w:pStyle w:val="BoxText"/>
      </w:pPr>
      <w:r>
        <w:t>Other feedback</w:t>
      </w:r>
      <w:r w:rsidRPr="00E80F51">
        <w:t xml:space="preserve"> </w:t>
      </w:r>
      <w:r>
        <w:t>called for the department to take action to address infrastructure limitations at some registered establishments. Other suggestions included that a maximum timeframe of no longer than 12 hours be added to the definition of ‘first reasonable opportunity’, that rejected animals should be removed without delay in all circumstances and that ‘without delay’ be added to the definitions to include ‘within 15 minutes’ of identification.</w:t>
      </w:r>
    </w:p>
    <w:p w:rsidR="00A5071E" w:rsidP="00BA1C68">
      <w:pPr>
        <w:pStyle w:val="BoxHeading"/>
      </w:pPr>
      <w:r>
        <w:t>Department response</w:t>
      </w:r>
      <w:r w:rsidRPr="00145609">
        <w:t>:</w:t>
      </w:r>
    </w:p>
    <w:p w:rsidR="00A5071E" w:rsidP="00BA1C68">
      <w:pPr>
        <w:pStyle w:val="BoxText"/>
      </w:pPr>
      <w:r>
        <w:t>The proposed amendments have been finalised with changes.</w:t>
      </w:r>
    </w:p>
    <w:p w:rsidR="00A5071E" w:rsidP="00BA1C68">
      <w:pPr>
        <w:pStyle w:val="BoxText"/>
      </w:pPr>
      <w:r>
        <w:t>The department has modified the proposed amendments to include:</w:t>
      </w:r>
    </w:p>
    <w:p w:rsidR="00A5071E" w:rsidRPr="00A5071E" w:rsidP="00BA1C68">
      <w:pPr>
        <w:pStyle w:val="BoxTextBullet"/>
      </w:pPr>
      <w:r w:rsidRPr="00A5071E">
        <w:t xml:space="preserve">‘where </w:t>
      </w:r>
      <w:r w:rsidRPr="00A5071E">
        <w:t>feasible, or at the first reasonable opportunity’ to the requirement for rejected animals to be visually marked upon identification,</w:t>
      </w:r>
    </w:p>
    <w:p w:rsidR="00A5071E" w:rsidP="00BA1C68">
      <w:pPr>
        <w:pStyle w:val="BoxTextBullet"/>
      </w:pPr>
      <w:r>
        <w:t>‘</w:t>
      </w:r>
      <w:r w:rsidRPr="00C60520">
        <w:rPr>
          <w:i/>
          <w:iCs/>
        </w:rPr>
        <w:t>where feasible, or at the first reasonable opportunity</w:t>
      </w:r>
      <w:r>
        <w:t>’ to the requirement for rejected animals that are not suffering to be isolated upon identification. The word ‘</w:t>
      </w:r>
      <w:r w:rsidRPr="00E67693">
        <w:rPr>
          <w:i/>
          <w:iCs/>
        </w:rPr>
        <w:t>rejected</w:t>
      </w:r>
      <w:r>
        <w:t>’ has also been included before ‘animal’ in this provision, and</w:t>
      </w:r>
    </w:p>
    <w:p w:rsidR="00A5071E" w:rsidP="00BA1C68">
      <w:pPr>
        <w:pStyle w:val="BoxTextBullet"/>
      </w:pPr>
      <w:r>
        <w:t>‘</w:t>
      </w:r>
      <w:r w:rsidRPr="00E67693">
        <w:rPr>
          <w:i/>
          <w:iCs/>
        </w:rPr>
        <w:t>at the next management procedure and/or</w:t>
      </w:r>
      <w:r>
        <w:rPr>
          <w:i/>
          <w:iCs/>
        </w:rPr>
        <w:t>…’</w:t>
      </w:r>
      <w:r>
        <w:t xml:space="preserve"> has been added to the definition of ‘</w:t>
      </w:r>
      <w:r w:rsidRPr="00E67693">
        <w:rPr>
          <w:i/>
          <w:iCs/>
        </w:rPr>
        <w:t>first reasonable opportunity’</w:t>
      </w:r>
      <w:r>
        <w:t>.</w:t>
      </w:r>
    </w:p>
    <w:p w:rsidR="00384251" w:rsidP="00A5071E">
      <w:pPr>
        <w:pStyle w:val="BoxText"/>
      </w:pPr>
      <w:r w:rsidRPr="008F129C">
        <w:t xml:space="preserve">The changes to standard 3.1.15 allow for greater flexibility regarding timing of marking and removal of rejected livestock, balancing the best animal health and welfare outcomes with the management practices and infrastructure constraints at some registered establishments. </w:t>
      </w:r>
    </w:p>
    <w:p w:rsidR="00384251" w:rsidP="00A5071E">
      <w:pPr>
        <w:pStyle w:val="BoxText"/>
      </w:pPr>
      <w:r w:rsidRPr="008F129C">
        <w:t xml:space="preserve">The changes align with multiple reviews indicating that changes are required to improve animal welfare outcomes and to promote compliance with ASEL. </w:t>
      </w:r>
    </w:p>
    <w:p w:rsidR="00A5071E" w:rsidRPr="00A5071E" w:rsidP="00BA1C68">
      <w:pPr>
        <w:pStyle w:val="BoxText"/>
      </w:pPr>
      <w:r w:rsidRPr="008F129C">
        <w:t>The changes also address stakeholder concerns that repeated handling and disturbance of livestock to remove a reject (that is not injured or suffering distress), may cause increased stress and have adverse animal welfare outcomes for the rest of the mob.</w:t>
      </w:r>
    </w:p>
    <w:p w:rsidR="00A26D47" w:rsidRPr="00A26D47" w:rsidP="001C3F20">
      <w:pPr>
        <w:pStyle w:val="Heading3"/>
        <w:numPr>
          <w:ilvl w:val="0"/>
          <w:numId w:val="0"/>
        </w:numPr>
      </w:pPr>
      <w:r w:rsidRPr="00A26D47">
        <w:t xml:space="preserve">Amended standard and definition for ASEL 3.3 </w:t>
      </w:r>
    </w:p>
    <w:p w:rsidR="008F129C" w:rsidRPr="001C3F20" w:rsidP="001C3F20">
      <w:pPr>
        <w:rPr>
          <w:i/>
          <w:iCs/>
        </w:rPr>
      </w:pPr>
      <w:r w:rsidRPr="001C3F20">
        <w:rPr>
          <w:i/>
          <w:iCs/>
        </w:rPr>
        <w:t>(</w:t>
      </w:r>
      <w:r w:rsidRPr="001C3F20" w:rsidR="005F35A3">
        <w:rPr>
          <w:i/>
          <w:iCs/>
        </w:rPr>
        <w:t>T</w:t>
      </w:r>
      <w:r w:rsidRPr="001C3F20" w:rsidR="00BE1CDE">
        <w:rPr>
          <w:i/>
          <w:iCs/>
        </w:rPr>
        <w:t>his version of Standard 3.1.15 comes into force on 29 August 2024</w:t>
      </w:r>
      <w:r w:rsidRPr="001C3F20">
        <w:rPr>
          <w:i/>
          <w:iCs/>
        </w:rPr>
        <w:t>)</w:t>
      </w:r>
    </w:p>
    <w:p w:rsidR="00D06826" w:rsidP="00D06826">
      <w:r w:rsidRPr="008F129C">
        <w:rPr>
          <w:b/>
          <w:bCs/>
        </w:rPr>
        <w:t>3.1.15</w:t>
      </w:r>
      <w:r w:rsidRPr="008F129C">
        <w:t xml:space="preserve"> </w:t>
      </w:r>
      <w:r>
        <w:t>Livestock must be individually inspected at unloading, and inspected at least daily, to determine whether they are suitable for preparation for export.</w:t>
      </w:r>
    </w:p>
    <w:p w:rsidR="00D06826" w:rsidP="0072560A">
      <w:pPr>
        <w:pStyle w:val="ListNumber2"/>
      </w:pPr>
      <w:r>
        <w:t>An</w:t>
      </w:r>
      <w:r w:rsidR="00CE53BA">
        <w:t>y</w:t>
      </w:r>
      <w:r>
        <w:t xml:space="preserve"> animal must be rejected from the consignment if they:</w:t>
      </w:r>
    </w:p>
    <w:p w:rsidR="00D06826" w:rsidP="0072560A">
      <w:pPr>
        <w:pStyle w:val="ListNumber3"/>
      </w:pPr>
      <w:r>
        <w:t>are identified as being distressed or injured, or</w:t>
      </w:r>
    </w:p>
    <w:p w:rsidR="00D06826" w:rsidP="0072560A">
      <w:pPr>
        <w:pStyle w:val="ListNumber3"/>
      </w:pPr>
      <w:r>
        <w:t>have a condition that could be defined as an infectious or contagious disease, or</w:t>
      </w:r>
    </w:p>
    <w:p w:rsidR="00D06826" w:rsidP="0072560A">
      <w:pPr>
        <w:pStyle w:val="ListNumber3"/>
      </w:pPr>
      <w:r>
        <w:t>have a condition where the animal’s health or welfare could decline, or</w:t>
      </w:r>
    </w:p>
    <w:p w:rsidR="00D06826" w:rsidP="0072560A">
      <w:pPr>
        <w:pStyle w:val="ListNumber3"/>
      </w:pPr>
      <w:r>
        <w:t>could suffer distress during the export process, or are otherwise unsuitable for export (including the rejection criteria outlined in Standard 1 Table 1), or</w:t>
      </w:r>
    </w:p>
    <w:p w:rsidR="00D06826" w:rsidP="0072560A">
      <w:pPr>
        <w:pStyle w:val="ListNumber3"/>
      </w:pPr>
      <w:r>
        <w:t>do not meet importing country requirements.</w:t>
      </w:r>
    </w:p>
    <w:p w:rsidR="00D06826" w:rsidRPr="00D06826" w:rsidP="0072560A">
      <w:pPr>
        <w:pStyle w:val="ListNumber2"/>
      </w:pPr>
      <w:r w:rsidRPr="00D06826">
        <w:t>All rejected animals must be individually visually marked upon identification where feasible, or at the first reasonable opportunity, by a semi-permanent or permanent method.</w:t>
      </w:r>
    </w:p>
    <w:p w:rsidR="00D06826" w:rsidRPr="00D06826" w:rsidP="0072560A">
      <w:pPr>
        <w:pStyle w:val="ListNumber2"/>
      </w:pPr>
      <w:r w:rsidRPr="00D06826">
        <w:t>Isolation of rejected animals from the rest of the consignment:</w:t>
      </w:r>
    </w:p>
    <w:p w:rsidR="00D06826" w:rsidRPr="00D06826" w:rsidP="0072560A">
      <w:pPr>
        <w:pStyle w:val="ListNumber3"/>
      </w:pPr>
      <w:r w:rsidRPr="00D06826">
        <w:t>must occur upon identification if the rejected animal is injured or suffering distress, or</w:t>
      </w:r>
    </w:p>
    <w:p w:rsidR="00D06826" w:rsidP="0072560A">
      <w:pPr>
        <w:pStyle w:val="ListNumber3"/>
      </w:pPr>
      <w:r w:rsidRPr="00D06826">
        <w:t>must occur upon identification where feasible, or at the first reasonable opportunity, if the rejected animal has an infectious or contagious disease</w:t>
      </w:r>
      <w:r>
        <w:t>, or</w:t>
      </w:r>
    </w:p>
    <w:p w:rsidR="00D06826" w:rsidP="0072560A">
      <w:pPr>
        <w:pStyle w:val="ListNumber3"/>
      </w:pPr>
      <w:r>
        <w:t xml:space="preserve">should occur upon identification where feasible </w:t>
      </w:r>
      <w:r w:rsidRPr="004F5338">
        <w:t>or at the first reasonable opportunity</w:t>
      </w:r>
      <w:r>
        <w:t xml:space="preserve"> i</w:t>
      </w:r>
      <w:r w:rsidRPr="004F5338">
        <w:t xml:space="preserve">f the rejected animal is not suffering distress or </w:t>
      </w:r>
      <w:r w:rsidRPr="004F5338">
        <w:t>does not have an infectious or contagious disease</w:t>
      </w:r>
      <w:r>
        <w:t>.</w:t>
      </w:r>
    </w:p>
    <w:p w:rsidR="00D06826" w:rsidP="0072560A">
      <w:pPr>
        <w:pStyle w:val="ListNumber2"/>
      </w:pPr>
      <w:r>
        <w:t>Arrangements must be made for the prompt and humane handling, treatment and care</w:t>
      </w:r>
      <w:r w:rsidRPr="00415ED4">
        <w:t xml:space="preserve"> </w:t>
      </w:r>
      <w:r>
        <w:t>of rejected livestock, including:</w:t>
      </w:r>
    </w:p>
    <w:p w:rsidR="00D06826" w:rsidP="0072560A">
      <w:pPr>
        <w:pStyle w:val="ListNumber3"/>
      </w:pPr>
      <w:r>
        <w:t>provision of treatment to all sick or injured livestock; and</w:t>
      </w:r>
    </w:p>
    <w:p w:rsidR="00D06826" w:rsidP="0072560A">
      <w:pPr>
        <w:pStyle w:val="ListNumber3"/>
      </w:pPr>
      <w:r>
        <w:t>provision of veterinary advice if the cause of a sickness or injury is not obvious, or if action taken to prevent or treat the problem is ineffective; and</w:t>
      </w:r>
    </w:p>
    <w:p w:rsidR="00D06826" w:rsidP="0072560A">
      <w:pPr>
        <w:pStyle w:val="ListNumber3"/>
      </w:pPr>
      <w:r>
        <w:t>where required euthanasia and/or disposal, in compliance with all relevant and applicable legislation.</w:t>
      </w:r>
    </w:p>
    <w:p w:rsidR="00D06826" w:rsidRPr="004F5338" w:rsidP="0072560A">
      <w:pPr>
        <w:pStyle w:val="ListNumber2"/>
      </w:pPr>
      <w:r>
        <w:t>All rejected animals must be removed from the consignment prior to being loaded for departure from the registered establishment to the port</w:t>
      </w:r>
      <w:r w:rsidR="004C7C97">
        <w:t xml:space="preserve"> of embarkation</w:t>
      </w:r>
      <w:r>
        <w:t>.</w:t>
      </w:r>
    </w:p>
    <w:p w:rsidR="008F129C" w:rsidRPr="008F129C" w:rsidP="00215B6F">
      <w:pPr>
        <w:rPr>
          <w:b/>
          <w:bCs/>
        </w:rPr>
      </w:pPr>
      <w:r w:rsidRPr="008F129C">
        <w:rPr>
          <w:b/>
          <w:bCs/>
        </w:rPr>
        <w:t>Add</w:t>
      </w:r>
      <w:r w:rsidR="00D06826">
        <w:rPr>
          <w:b/>
          <w:bCs/>
        </w:rPr>
        <w:t>ed</w:t>
      </w:r>
      <w:r w:rsidRPr="008F129C">
        <w:rPr>
          <w:b/>
          <w:bCs/>
        </w:rPr>
        <w:t xml:space="preserve"> to definitions</w:t>
      </w:r>
    </w:p>
    <w:p w:rsidR="002D65C2" w:rsidRPr="00D06826" w:rsidP="00C40F29">
      <w:r w:rsidRPr="008F129C">
        <w:t>At the ‘</w:t>
      </w:r>
      <w:r w:rsidRPr="008F129C">
        <w:rPr>
          <w:i/>
          <w:iCs/>
        </w:rPr>
        <w:t>first reasonable opportunity</w:t>
      </w:r>
      <w:r w:rsidRPr="008F129C">
        <w:t>’ means at the next management procedure and / or within a timeframe that would be expected by a reasonable person with the relevant knowledge, skills and experience in the management of livestock given the urgency of the situation in relation to the welfare of the livestock.</w:t>
      </w:r>
    </w:p>
    <w:p w:rsidR="008F129C" w:rsidP="001C3F20">
      <w:pPr>
        <w:pStyle w:val="Heading2"/>
      </w:pPr>
      <w:r w:rsidRPr="00D06826">
        <w:t xml:space="preserve">The number of clear days livestock spend in a </w:t>
      </w:r>
      <w:r w:rsidRPr="00D06826">
        <w:t>Registered Establishment</w:t>
      </w:r>
    </w:p>
    <w:p w:rsidR="00384251" w:rsidP="00BA1C68">
      <w:pPr>
        <w:pStyle w:val="BoxHeading"/>
      </w:pPr>
      <w:r>
        <w:t>Summary of feedback:</w:t>
      </w:r>
    </w:p>
    <w:p w:rsidR="00384251" w:rsidP="00BA1C68">
      <w:pPr>
        <w:pStyle w:val="BoxText"/>
        <w:rPr>
          <w:lang w:eastAsia="ja-JP"/>
        </w:rPr>
      </w:pPr>
      <w:r>
        <w:rPr>
          <w:lang w:eastAsia="ja-JP"/>
        </w:rPr>
        <w:t>Some feedback supported the proposed amendments, stating they align with research from Murdoch University that indicates shearing can be undertaken during clear days at a registered establishment without negative animal welfare impacts.</w:t>
      </w:r>
    </w:p>
    <w:p w:rsidR="00384251" w:rsidP="00BA1C68">
      <w:pPr>
        <w:pStyle w:val="BoxText"/>
        <w:rPr>
          <w:lang w:eastAsia="ja-JP"/>
        </w:rPr>
      </w:pPr>
      <w:r>
        <w:rPr>
          <w:lang w:eastAsia="ja-JP"/>
        </w:rPr>
        <w:t>Other feedback suggested increasing the number of clear days livestock are required to spend at a registered establishment (for example, that the number of clear days required for cattle increase from 2 days to 5 days), however, no science or evidence was provided to support these suggestions.</w:t>
      </w:r>
    </w:p>
    <w:p w:rsidR="00384251" w:rsidP="00BA1C68">
      <w:pPr>
        <w:pStyle w:val="BoxText"/>
        <w:rPr>
          <w:lang w:eastAsia="ja-JP"/>
        </w:rPr>
      </w:pPr>
      <w:r>
        <w:rPr>
          <w:lang w:eastAsia="ja-JP"/>
        </w:rPr>
        <w:t>There were suggestions for clear days to be consecutive and implemented at a single registered establishment. The changes to the definition of ‘clear day’ were recommended by the Technical Advisory Committee (TAC) in recommendation 8 of the ASEL review.</w:t>
      </w:r>
    </w:p>
    <w:p w:rsidR="00384251" w:rsidP="00BA1C68">
      <w:pPr>
        <w:pStyle w:val="BoxText"/>
        <w:rPr>
          <w:lang w:eastAsia="ja-JP"/>
        </w:rPr>
      </w:pPr>
      <w:r>
        <w:rPr>
          <w:lang w:eastAsia="ja-JP"/>
        </w:rPr>
        <w:t>Concerns were also raised that the proposed amendments could result in additional days spent in a registered establishment for cattle and buffalo.</w:t>
      </w:r>
    </w:p>
    <w:p w:rsidR="00384251" w:rsidP="00BA1C68">
      <w:pPr>
        <w:pStyle w:val="BoxHeading"/>
      </w:pPr>
      <w:r>
        <w:t>Department response</w:t>
      </w:r>
      <w:r w:rsidRPr="00145609">
        <w:t>:</w:t>
      </w:r>
    </w:p>
    <w:p w:rsidR="00384251" w:rsidP="00BA1C68">
      <w:pPr>
        <w:pStyle w:val="BoxText"/>
        <w:rPr>
          <w:rFonts w:cstheme="minorHAnsi"/>
        </w:rPr>
      </w:pPr>
      <w:r>
        <w:rPr>
          <w:rFonts w:cstheme="minorHAnsi"/>
        </w:rPr>
        <w:t>The proposed amendments have been finalised with changes.</w:t>
      </w:r>
    </w:p>
    <w:p w:rsidR="00384251" w:rsidP="00BA1C68">
      <w:pPr>
        <w:pStyle w:val="BoxText"/>
        <w:rPr>
          <w:rFonts w:cstheme="minorHAnsi"/>
        </w:rPr>
      </w:pPr>
      <w:r>
        <w:rPr>
          <w:rFonts w:cstheme="minorHAnsi"/>
        </w:rPr>
        <w:t>The department acknowledges that greater clarity around the wording of the proposed amendments was required. The proposed amendments have been modified in response to internal and external feedback.</w:t>
      </w:r>
    </w:p>
    <w:p w:rsidR="00384251" w:rsidP="00BA1C68">
      <w:pPr>
        <w:pStyle w:val="BoxText"/>
        <w:rPr>
          <w:rFonts w:cstheme="minorHAnsi"/>
        </w:rPr>
      </w:pPr>
      <w:r w:rsidRPr="008F129C">
        <w:t>The changes to standard 3.7.7 address the risk of poor rumen function, salmonellosis and inanition in sheep due to time off feed and water (curfew), not simply due to the act of shearing. The changes</w:t>
      </w:r>
      <w:r>
        <w:t xml:space="preserve"> </w:t>
      </w:r>
      <w:r w:rsidRPr="008F129C">
        <w:t>provide clarity regarding when an additional clear day is required for sheep in a registered establishment.</w:t>
      </w:r>
    </w:p>
    <w:p w:rsidR="00384251" w:rsidRPr="007755C6" w:rsidP="00BA1C68">
      <w:pPr>
        <w:pStyle w:val="BoxText"/>
      </w:pPr>
      <w:r>
        <w:rPr>
          <w:rFonts w:cstheme="minorHAnsi"/>
        </w:rPr>
        <w:t xml:space="preserve">Inclusion of the statement </w:t>
      </w:r>
      <w:r w:rsidRPr="003102C5">
        <w:rPr>
          <w:rFonts w:cstheme="minorHAnsi"/>
          <w:i/>
          <w:iCs/>
        </w:rPr>
        <w:t>‘A day on which an animal is subject to a feed or water curfew is not a clear day’</w:t>
      </w:r>
      <w:r>
        <w:rPr>
          <w:rFonts w:cstheme="minorHAnsi"/>
        </w:rPr>
        <w:t xml:space="preserve"> in standards 3.7.7, 3.2.2, 3.4.2 and 3.4.6 provides greater clarity regarding what constitutes a clear day.</w:t>
      </w:r>
    </w:p>
    <w:p w:rsidR="00384251" w:rsidP="00BA1C68">
      <w:pPr>
        <w:pStyle w:val="BoxText"/>
      </w:pPr>
      <w:r w:rsidRPr="008F129C">
        <w:t xml:space="preserve">The </w:t>
      </w:r>
      <w:r w:rsidRPr="008F129C">
        <w:t>changes to standards 3.7.1 and 3.7.2 rectify an error in wording by removing the incorrect inclusion of the word ‘clear’.</w:t>
      </w:r>
    </w:p>
    <w:p w:rsidR="00384251" w:rsidRPr="00BA1C68" w:rsidP="00BA1C68">
      <w:pPr>
        <w:pStyle w:val="BoxText"/>
        <w:rPr>
          <w:sz w:val="22"/>
        </w:rPr>
      </w:pPr>
      <w:r>
        <w:rPr>
          <w:rFonts w:cstheme="minorHAnsi"/>
        </w:rPr>
        <w:t>Finally, t</w:t>
      </w:r>
      <w:r w:rsidRPr="00955602">
        <w:rPr>
          <w:rFonts w:cstheme="minorHAnsi"/>
        </w:rPr>
        <w:t xml:space="preserve">he </w:t>
      </w:r>
      <w:r>
        <w:rPr>
          <w:rFonts w:cstheme="minorHAnsi"/>
        </w:rPr>
        <w:t>updated</w:t>
      </w:r>
      <w:r w:rsidRPr="00955602">
        <w:rPr>
          <w:rFonts w:cstheme="minorHAnsi"/>
        </w:rPr>
        <w:t xml:space="preserve"> definition </w:t>
      </w:r>
      <w:r>
        <w:rPr>
          <w:rFonts w:cstheme="minorHAnsi"/>
        </w:rPr>
        <w:t xml:space="preserve">of a clear day </w:t>
      </w:r>
      <w:r w:rsidRPr="00955602">
        <w:rPr>
          <w:rFonts w:cstheme="minorHAnsi"/>
        </w:rPr>
        <w:t>more closely reflects the wording used by the Technical Advisory Committee (TAC) in recommendation 8 of the</w:t>
      </w:r>
      <w:r>
        <w:rPr>
          <w:rFonts w:cstheme="minorHAnsi"/>
        </w:rPr>
        <w:t xml:space="preserve"> </w:t>
      </w:r>
      <w:r w:rsidRPr="00A136D8">
        <w:rPr>
          <w:rFonts w:cstheme="minorHAnsi"/>
        </w:rPr>
        <w:t>Review of the Australian Standards for the export of Livestock: Sea Transport, Final Report (2019)</w:t>
      </w:r>
      <w:r>
        <w:rPr>
          <w:rFonts w:cstheme="minorHAnsi"/>
        </w:rPr>
        <w:t>.</w:t>
      </w:r>
    </w:p>
    <w:p w:rsidR="00DB4BBC" w:rsidRPr="00DB4BBC" w:rsidP="00C40F29">
      <w:pPr>
        <w:pStyle w:val="Heading3"/>
        <w:numPr>
          <w:ilvl w:val="0"/>
          <w:numId w:val="0"/>
        </w:numPr>
      </w:pPr>
      <w:r w:rsidRPr="00DB4BBC">
        <w:t>Amended standards and definition for ASEL 3.3</w:t>
      </w:r>
    </w:p>
    <w:p w:rsidR="00415ED0" w:rsidRPr="00C40F29" w:rsidP="00C40F29">
      <w:pPr>
        <w:rPr>
          <w:i/>
          <w:iCs/>
          <w:sz w:val="28"/>
          <w:szCs w:val="28"/>
        </w:rPr>
      </w:pPr>
      <w:r w:rsidRPr="00953001">
        <w:rPr>
          <w:i/>
          <w:iCs/>
        </w:rPr>
        <w:t>(</w:t>
      </w:r>
      <w:r w:rsidRPr="00C40F29">
        <w:rPr>
          <w:i/>
          <w:iCs/>
        </w:rPr>
        <w:t>These versions of Standards 3.7.7, 3.7.1, 3.7.2, 3.2.2, 3.4.2 and 3.6.4 come into force on 29</w:t>
      </w:r>
      <w:r w:rsidRPr="00C40F29" w:rsidR="001B0B9A">
        <w:rPr>
          <w:b/>
          <w:bCs/>
          <w:i/>
          <w:iCs/>
        </w:rPr>
        <w:t> </w:t>
      </w:r>
      <w:r w:rsidRPr="00C40F29">
        <w:rPr>
          <w:i/>
          <w:iCs/>
        </w:rPr>
        <w:t>August 2024)</w:t>
      </w:r>
    </w:p>
    <w:p w:rsidR="005539E9" w:rsidRPr="00C40F29" w:rsidP="00640007">
      <w:pPr>
        <w:rPr>
          <w:b/>
          <w:bCs/>
        </w:rPr>
      </w:pPr>
      <w:r w:rsidRPr="00640007">
        <w:rPr>
          <w:b/>
          <w:bCs/>
        </w:rPr>
        <w:t>Sheep management requirements</w:t>
      </w:r>
    </w:p>
    <w:p w:rsidR="008F129C" w:rsidRPr="008F129C" w:rsidP="00215B6F">
      <w:r w:rsidRPr="008F129C">
        <w:rPr>
          <w:b/>
          <w:bCs/>
        </w:rPr>
        <w:t>3.7.7</w:t>
      </w:r>
      <w:r w:rsidRPr="008F129C">
        <w:t xml:space="preserve"> The minimum length of time that sheep must remain in a registered establishment prior to departure for the port is 5 clear days. A day on which animals are subject to a feed or water curfew is not a clear day. In addition to the above:</w:t>
      </w:r>
    </w:p>
    <w:p w:rsidR="0072560A" w:rsidP="0072560A">
      <w:pPr>
        <w:pStyle w:val="ListNumber2"/>
        <w:numPr>
          <w:ilvl w:val="1"/>
          <w:numId w:val="40"/>
        </w:numPr>
        <w:ind w:left="284" w:hanging="284"/>
      </w:pPr>
      <w:r w:rsidRPr="008F129C">
        <w:t>If a feed or water curfew is longer than 12 hours, an additional clear day is required (that is, 6 clear days); and</w:t>
      </w:r>
    </w:p>
    <w:p w:rsidR="008F129C" w:rsidRPr="008F129C" w:rsidP="0072560A">
      <w:pPr>
        <w:pStyle w:val="listalphabetical"/>
      </w:pPr>
      <w:r w:rsidRPr="008F129C">
        <w:t xml:space="preserve">During at least the last 3 clear days prior to export, sheep are to be fed </w:t>
      </w:r>
      <w:r w:rsidRPr="0072560A">
        <w:rPr>
          <w:i/>
          <w:iCs/>
        </w:rPr>
        <w:t>ad libitum</w:t>
      </w:r>
      <w:r w:rsidRPr="008F129C">
        <w:t xml:space="preserve"> on a ration equivalent in both form and composition to that which is to be used on the export voyage.</w:t>
      </w:r>
    </w:p>
    <w:p w:rsidR="008F129C" w:rsidRPr="008F129C" w:rsidP="00215B6F">
      <w:r w:rsidRPr="008F129C">
        <w:rPr>
          <w:b/>
          <w:bCs/>
        </w:rPr>
        <w:t>3.7.1</w:t>
      </w:r>
      <w:r w:rsidRPr="008F129C">
        <w:t xml:space="preserve"> Sheep that are 10 days or more off shears may be accommodated in paddocks at the registered establishment.</w:t>
      </w:r>
    </w:p>
    <w:p w:rsidR="008F129C" w:rsidRPr="008F129C" w:rsidP="00215B6F">
      <w:r w:rsidRPr="008F129C">
        <w:rPr>
          <w:b/>
          <w:bCs/>
        </w:rPr>
        <w:t>3.7.2</w:t>
      </w:r>
      <w:r w:rsidRPr="008F129C">
        <w:t xml:space="preserve"> Sheep that are less than 10 days off shears must be:</w:t>
      </w:r>
    </w:p>
    <w:p w:rsidR="008F129C" w:rsidRPr="008F129C" w:rsidP="006E1561">
      <w:pPr>
        <w:pStyle w:val="ListNumber2"/>
        <w:numPr>
          <w:ilvl w:val="1"/>
          <w:numId w:val="41"/>
        </w:numPr>
        <w:ind w:left="284" w:hanging="284"/>
      </w:pPr>
      <w:r w:rsidRPr="008F129C">
        <w:t>given at least 2 clear days between shearing and loading for export, and</w:t>
      </w:r>
    </w:p>
    <w:p w:rsidR="008F129C" w:rsidRPr="008F129C" w:rsidP="006E1561">
      <w:pPr>
        <w:pStyle w:val="ListNumber2"/>
      </w:pPr>
      <w:r w:rsidRPr="008F129C">
        <w:t xml:space="preserve">accommodated in sheds at the registered establishment, unless otherwise provided in an </w:t>
      </w:r>
      <w:r w:rsidRPr="00D06826">
        <w:t>accommodation of shorn sheep management plan</w:t>
      </w:r>
      <w:r w:rsidRPr="008F129C">
        <w:t xml:space="preserve"> approved in writing by the department.</w:t>
      </w:r>
    </w:p>
    <w:p w:rsidR="008F129C" w:rsidRPr="00C40F29" w:rsidP="00C40F29">
      <w:r w:rsidRPr="00C40F29">
        <w:rPr>
          <w:b/>
          <w:bCs/>
        </w:rPr>
        <w:t xml:space="preserve">Buffalo </w:t>
      </w:r>
      <w:r w:rsidRPr="00C40F29">
        <w:rPr>
          <w:b/>
          <w:bCs/>
        </w:rPr>
        <w:t>management requirements</w:t>
      </w:r>
    </w:p>
    <w:p w:rsidR="00D06826" w:rsidP="00C40F29">
      <w:r w:rsidRPr="007E54CC">
        <w:rPr>
          <w:b/>
          <w:bCs/>
        </w:rPr>
        <w:t>3.2.2</w:t>
      </w:r>
      <w:r w:rsidRPr="008F129C">
        <w:t xml:space="preserve"> The minimum length of time that buffalo must remain in a registered establishment prior to departure for the port is 5 clear days. A day on which an animal is subject to a feed or water curfew is not a clear day.</w:t>
      </w:r>
    </w:p>
    <w:p w:rsidR="008F129C" w:rsidRPr="00640007" w:rsidP="00640007">
      <w:pPr>
        <w:rPr>
          <w:b/>
          <w:bCs/>
        </w:rPr>
      </w:pPr>
      <w:r w:rsidRPr="00640007">
        <w:rPr>
          <w:b/>
          <w:bCs/>
        </w:rPr>
        <w:t>Cattle management requirements</w:t>
      </w:r>
    </w:p>
    <w:p w:rsidR="008F129C" w:rsidRPr="008F129C" w:rsidP="00C40F29">
      <w:r w:rsidRPr="007E54CC">
        <w:rPr>
          <w:b/>
          <w:bCs/>
        </w:rPr>
        <w:t>3.4.2</w:t>
      </w:r>
      <w:r w:rsidRPr="008F129C">
        <w:t xml:space="preserve"> The minimum length of time that cattle must remain in a registered establishment prior to departure for the port is 2 clear days for short or long–haul voyages, or 3 clear days for extended long–haul voyages. A day on which an animal is subject to a feed or water curfew is not a clear day.</w:t>
      </w:r>
    </w:p>
    <w:p w:rsidR="008F129C" w:rsidRPr="00C40F29" w:rsidP="00C40F29">
      <w:r w:rsidRPr="00C40F29">
        <w:rPr>
          <w:b/>
          <w:bCs/>
        </w:rPr>
        <w:t>Goat management requirements</w:t>
      </w:r>
    </w:p>
    <w:p w:rsidR="008F129C" w:rsidRPr="008F129C" w:rsidP="00C40F29">
      <w:r w:rsidRPr="007E54CC">
        <w:rPr>
          <w:b/>
          <w:bCs/>
        </w:rPr>
        <w:t>3.6.4</w:t>
      </w:r>
      <w:r w:rsidRPr="008F129C">
        <w:t xml:space="preserve"> The minimum length of time that goats must remain in a registered establishment prior to departure for the port is 5 clear days. A day on which an animal is subject to a feed or water curfew is not a clear day. During at least the 3 clear days prior to export, goats are to be fed ad libitum on a ration equivalent in both form and composition to that which is to be used on the voyage.</w:t>
      </w:r>
    </w:p>
    <w:p w:rsidR="008F129C" w:rsidRPr="00C40F29" w:rsidP="00C40F29">
      <w:r w:rsidRPr="00C40F29">
        <w:rPr>
          <w:b/>
          <w:bCs/>
        </w:rPr>
        <w:t>Definition of clear day</w:t>
      </w:r>
    </w:p>
    <w:p w:rsidR="00BE1CDE" w:rsidP="00B46FCF">
      <w:r w:rsidRPr="008F129C">
        <w:t xml:space="preserve">Clear day means a full day (midnight to midnight) not including the day of </w:t>
      </w:r>
      <w:r w:rsidRPr="008F129C" w:rsidR="00D06826">
        <w:t>arrival at</w:t>
      </w:r>
      <w:r w:rsidRPr="008F129C">
        <w:t xml:space="preserve"> the registered establishment for export preparation, or the day of loading for export at the registered establishment, during which livestock are not subject to a feed or water curfew. Clear days apply to the animal rather than at a whole-of-consignment level.</w:t>
      </w:r>
    </w:p>
    <w:p w:rsidR="00DB4BBC" w:rsidP="00D50055">
      <w:pPr>
        <w:pStyle w:val="Heading2"/>
      </w:pPr>
      <w:r w:rsidRPr="00C40F29">
        <w:t>Record-keeping requirements for Registered Establishments</w:t>
      </w:r>
    </w:p>
    <w:p w:rsidR="00384251" w:rsidP="00BA1C68">
      <w:pPr>
        <w:pStyle w:val="BoxHeading"/>
      </w:pPr>
      <w:r>
        <w:t>Summary of feedback:</w:t>
      </w:r>
    </w:p>
    <w:p w:rsidR="00384251" w:rsidP="00BA1C68">
      <w:pPr>
        <w:pStyle w:val="BoxText"/>
      </w:pPr>
      <w:r>
        <w:t>There was broad support for the intent of the proposed amendments to record-keeping requirements in registered establishments, with some suggesting minor changes.</w:t>
      </w:r>
    </w:p>
    <w:p w:rsidR="00384251" w:rsidP="00BA1C68">
      <w:pPr>
        <w:pStyle w:val="BoxText"/>
        <w:rPr>
          <w:rFonts w:cstheme="minorHAnsi"/>
        </w:rPr>
      </w:pPr>
      <w:r>
        <w:rPr>
          <w:rFonts w:cstheme="minorHAnsi"/>
        </w:rPr>
        <w:t>Concerns were raised regarding the scope of record-keeping requirements, especially relating to the timing and spatial limits.</w:t>
      </w:r>
    </w:p>
    <w:p w:rsidR="00384251" w:rsidP="00BA1C68">
      <w:pPr>
        <w:pStyle w:val="BoxText"/>
        <w:rPr>
          <w:rFonts w:cstheme="minorHAnsi"/>
        </w:rPr>
      </w:pPr>
      <w:r>
        <w:rPr>
          <w:rFonts w:cstheme="minorHAnsi"/>
        </w:rPr>
        <w:t>Feedback included a suggestion to record the date of arrival at, and departure from, the registered establishment.</w:t>
      </w:r>
    </w:p>
    <w:p w:rsidR="00384251" w:rsidP="00BA1C68">
      <w:pPr>
        <w:pStyle w:val="BoxHeading"/>
      </w:pPr>
      <w:r>
        <w:t>Department response</w:t>
      </w:r>
      <w:r w:rsidRPr="00145609">
        <w:t>:</w:t>
      </w:r>
    </w:p>
    <w:p w:rsidR="00384251" w:rsidP="00BA1C68">
      <w:pPr>
        <w:pStyle w:val="BoxText"/>
      </w:pPr>
      <w:r>
        <w:t>The proposed amendments have been finalised with changes.</w:t>
      </w:r>
    </w:p>
    <w:p w:rsidR="00384251" w:rsidP="00BA1C68">
      <w:pPr>
        <w:pStyle w:val="BoxText"/>
      </w:pPr>
      <w:r>
        <w:t>The department has modified the proposed amendments in response to feedback. A record of arrival and departure dates has been included as a requirement as these dates are relevant to the timing of clear days. A</w:t>
      </w:r>
      <w:r w:rsidRPr="002B6EB5">
        <w:t xml:space="preserve"> typographical error (disembarkation) has</w:t>
      </w:r>
      <w:r>
        <w:t xml:space="preserve"> also</w:t>
      </w:r>
      <w:r w:rsidRPr="002B6EB5">
        <w:t xml:space="preserve"> been corrected</w:t>
      </w:r>
      <w:r>
        <w:t>.</w:t>
      </w:r>
    </w:p>
    <w:p w:rsidR="00384251" w:rsidP="00BA1C68">
      <w:pPr>
        <w:pStyle w:val="BoxText"/>
      </w:pPr>
      <w:r>
        <w:t>The department notes the current standard already specifies when record-keeping must commence (from the time of unloading of livestock at the registered establishment), when it extends to (to the time of loading for transport to the port of embarkation) and for how long records must be retained (for at least 2 years after the date of export).</w:t>
      </w:r>
    </w:p>
    <w:p w:rsidR="00384251" w:rsidRPr="00455013" w:rsidP="00BA1C68">
      <w:pPr>
        <w:pStyle w:val="BoxText"/>
      </w:pPr>
      <w:r w:rsidRPr="002B6EB5">
        <w:t>The changes to standard 3.8.1 clarif</w:t>
      </w:r>
      <w:r>
        <w:t xml:space="preserve">y </w:t>
      </w:r>
      <w:r w:rsidRPr="002B6EB5">
        <w:t>registered establishments’ record-keeping responsibilities by specifying which animal records they must retain</w:t>
      </w:r>
      <w:r>
        <w:t xml:space="preserve">. </w:t>
      </w:r>
      <w:r w:rsidRPr="002B6EB5">
        <w:t>Clarifying these record-keeping requirements will facilitate compliance with ASEL, avoid confusion amongst stakeholders and reduce unnecessary, additional administration.</w:t>
      </w:r>
    </w:p>
    <w:p w:rsidR="00DB4BBC" w:rsidRPr="00DB4BBC" w:rsidP="001C3F20">
      <w:pPr>
        <w:pStyle w:val="Heading3"/>
        <w:numPr>
          <w:ilvl w:val="0"/>
          <w:numId w:val="0"/>
        </w:numPr>
      </w:pPr>
      <w:r w:rsidRPr="00DB4BBC">
        <w:t>Amended standard for ASEL 3.3</w:t>
      </w:r>
    </w:p>
    <w:p w:rsidR="005026DB" w:rsidRPr="001C3F20" w:rsidP="001C3F20">
      <w:pPr>
        <w:rPr>
          <w:i/>
          <w:iCs/>
        </w:rPr>
      </w:pPr>
      <w:r w:rsidRPr="00786AE7">
        <w:rPr>
          <w:i/>
          <w:iCs/>
        </w:rPr>
        <w:t>(</w:t>
      </w:r>
      <w:r w:rsidRPr="001C3F20" w:rsidR="00BE1CDE">
        <w:rPr>
          <w:i/>
          <w:iCs/>
        </w:rPr>
        <w:t>This version of Standard 3.8.1 comes into force on 29 August 2024</w:t>
      </w:r>
      <w:r w:rsidRPr="001C3F20" w:rsidR="000D35BF">
        <w:rPr>
          <w:i/>
          <w:iCs/>
        </w:rPr>
        <w:t>)</w:t>
      </w:r>
    </w:p>
    <w:p w:rsidR="005026DB" w:rsidRPr="005026DB" w:rsidP="00926622">
      <w:pPr>
        <w:spacing w:after="160" w:line="259" w:lineRule="auto"/>
      </w:pPr>
      <w:r w:rsidRPr="00926622">
        <w:rPr>
          <w:b/>
          <w:bCs/>
        </w:rPr>
        <w:t>3.8.1</w:t>
      </w:r>
      <w:r w:rsidRPr="005026DB">
        <w:t xml:space="preserve"> Animal records must be kept by the registered establishment occupier in accordance with the registered establishment operations manual, from the time of unloading of livestock at the registered establishment to their loading for transport to the port of embarkation and retained for at least 2 years after the date of export. These must include:</w:t>
      </w:r>
    </w:p>
    <w:p w:rsidR="005026DB" w:rsidRPr="006E1561" w:rsidP="006E1561">
      <w:pPr>
        <w:pStyle w:val="ListNumber2"/>
        <w:numPr>
          <w:ilvl w:val="1"/>
          <w:numId w:val="42"/>
        </w:numPr>
        <w:ind w:left="284" w:hanging="284"/>
      </w:pPr>
      <w:r w:rsidRPr="006E1561">
        <w:t>the animal’s identification in accordance with state and territory and NLIS requirements; and</w:t>
      </w:r>
    </w:p>
    <w:p w:rsidR="005026DB" w:rsidRPr="006E1561" w:rsidP="006E1561">
      <w:pPr>
        <w:pStyle w:val="ListNumber2"/>
      </w:pPr>
      <w:r w:rsidRPr="006E1561">
        <w:t>all management procedures that occur in the registered establishment relevant to export preparation and date(s) undertaken; and</w:t>
      </w:r>
    </w:p>
    <w:p w:rsidR="005026DB" w:rsidRPr="006E1561" w:rsidP="006E1561">
      <w:pPr>
        <w:pStyle w:val="ListNumber2"/>
      </w:pPr>
      <w:r w:rsidRPr="006E1561">
        <w:t>all veterinary medicines and treatments provided by the registered establishment to livestock undergoing export preparation (including species, treatment date(s), trade name or active ingredient, batch number and if used according to manufacturer’s directions. If not used according to manufacturer’s directions, the dose administered is to be included); and</w:t>
      </w:r>
    </w:p>
    <w:p w:rsidR="005026DB" w:rsidRPr="006E1561" w:rsidP="006E1561">
      <w:pPr>
        <w:pStyle w:val="ListNumber2"/>
      </w:pPr>
      <w:r w:rsidRPr="006E1561">
        <w:t>daily inspections by competent stock handlers of livestock health, welfare and appropriateness for export; and</w:t>
      </w:r>
    </w:p>
    <w:p w:rsidR="005026DB" w:rsidRPr="006E1561" w:rsidP="006E1561">
      <w:pPr>
        <w:pStyle w:val="ListNumber2"/>
      </w:pPr>
      <w:r w:rsidRPr="006E1561">
        <w:t>any mortality, sickness, injury or other sign consistent with the rejection criteria found, and actions taken to identify and remove any rejected livestock from the consignment, including location of rejected livestock, handling, care, treatment, euthanasia and/or disposal; and</w:t>
      </w:r>
    </w:p>
    <w:p w:rsidR="005026DB" w:rsidRPr="006E1561" w:rsidP="006E1561">
      <w:pPr>
        <w:pStyle w:val="ListNumber2"/>
      </w:pPr>
      <w:r w:rsidRPr="006E1561">
        <w:t>the date of arrival at, and departure from, the registered establishment; and</w:t>
      </w:r>
    </w:p>
    <w:p w:rsidR="00482B8D" w:rsidRPr="006E1561" w:rsidP="006E1561">
      <w:pPr>
        <w:pStyle w:val="ListNumber2"/>
      </w:pPr>
      <w:r w:rsidRPr="006E1561">
        <w:t>all other information required to demonstrate compliance with the relevant ASEL standards.</w:t>
      </w:r>
    </w:p>
    <w:p w:rsidR="00F43502" w:rsidP="00384251">
      <w:pPr>
        <w:pStyle w:val="Heading2"/>
      </w:pPr>
      <w:r w:rsidRPr="00384251">
        <w:t>When an accredited veterinarian (AAV) or stockperson must accompany a</w:t>
      </w:r>
      <w:r w:rsidRPr="00384251" w:rsidR="00953001">
        <w:t xml:space="preserve"> </w:t>
      </w:r>
      <w:r w:rsidRPr="00384251">
        <w:t>voyage</w:t>
      </w:r>
    </w:p>
    <w:p w:rsidR="00384251" w:rsidP="00BA1C68">
      <w:pPr>
        <w:pStyle w:val="BoxHeading"/>
      </w:pPr>
      <w:r>
        <w:t>Summary of feedback:</w:t>
      </w:r>
    </w:p>
    <w:p w:rsidR="00384251" w:rsidRPr="0044165D" w:rsidP="00BA1C68">
      <w:pPr>
        <w:pStyle w:val="BoxText"/>
      </w:pPr>
      <w:r>
        <w:t>Some feedback was supportive of the additional circumstances when an AAV must accompany a voyage, stating it was helpful to incorporate information from a policy document and export advisory notice into ASEL. However, other feedback claimed the additional circumstances did not go far enough, calling for an AAV on every voyage.</w:t>
      </w:r>
    </w:p>
    <w:p w:rsidR="00384251" w:rsidP="00BA1C68">
      <w:pPr>
        <w:pStyle w:val="BoxText"/>
      </w:pPr>
      <w:r>
        <w:t xml:space="preserve">Concerns were raised that </w:t>
      </w:r>
      <w:r w:rsidR="00EB36C8">
        <w:t>generally;</w:t>
      </w:r>
      <w:r>
        <w:t xml:space="preserve"> stockpersons did not have the skills or training in animal disease</w:t>
      </w:r>
      <w:r w:rsidR="00EB36C8">
        <w:t>,</w:t>
      </w:r>
      <w:r>
        <w:t xml:space="preserve"> </w:t>
      </w:r>
      <w:r w:rsidR="00EB36C8">
        <w:t>diagnosis,</w:t>
      </w:r>
      <w:r>
        <w:t xml:space="preserve"> and treatment to act as a substitute for an AAV.</w:t>
      </w:r>
    </w:p>
    <w:p w:rsidR="00384251" w:rsidP="00BA1C68">
      <w:pPr>
        <w:pStyle w:val="BoxText"/>
      </w:pPr>
      <w:r>
        <w:t>Other commentary focused on the proposed insertion of the wording ‘for the duration of the voyage’, which uses the in-place ASEL definition of ‘voyage’. Some supported the change, stating it simplified the standards, however, others were concerned there could be confusion around the definition and preferred the full definition to be included in the standard.</w:t>
      </w:r>
    </w:p>
    <w:p w:rsidR="00384251" w:rsidP="00BA1C68">
      <w:pPr>
        <w:pStyle w:val="BoxHeading"/>
      </w:pPr>
      <w:r>
        <w:t>Department response</w:t>
      </w:r>
      <w:r w:rsidRPr="00145609">
        <w:t>:</w:t>
      </w:r>
    </w:p>
    <w:p w:rsidR="00384251" w:rsidP="00BA1C68">
      <w:pPr>
        <w:pStyle w:val="BoxText"/>
      </w:pPr>
      <w:r>
        <w:t>The proposed amendments have been finalised without further changes.</w:t>
      </w:r>
    </w:p>
    <w:p w:rsidR="00384251" w:rsidRPr="00653D25" w:rsidP="00BA1C68">
      <w:pPr>
        <w:pStyle w:val="BoxText"/>
      </w:pPr>
      <w:r w:rsidRPr="00653D25">
        <w:t>The changes to standard 4.1.9 now include all the circumstances in which an AAV must accompany a consignment of livestock exported by sea, to align ASEL 3.3 with requirements outlined in a</w:t>
      </w:r>
      <w:r>
        <w:t>n</w:t>
      </w:r>
      <w:r w:rsidRPr="00653D25">
        <w:t xml:space="preserve"> Export Advisory Notice for Veterinarians accompanying livestock by sea (EAN 2016-14</w:t>
      </w:r>
      <w:r>
        <w:t xml:space="preserve"> – now removed</w:t>
      </w:r>
      <w:r w:rsidRPr="00653D25">
        <w:t xml:space="preserve">) and the policy document entitled </w:t>
      </w:r>
      <w:r w:rsidRPr="000A2063">
        <w:t>AAVs and stockpersons on sea voyages – applying for alternative arrangements in accordance with ASEL</w:t>
      </w:r>
      <w:r w:rsidRPr="00653D25">
        <w:t>.</w:t>
      </w:r>
    </w:p>
    <w:p w:rsidR="00384251" w:rsidRPr="00455013" w:rsidP="00BA1C68">
      <w:pPr>
        <w:pStyle w:val="BoxText"/>
      </w:pPr>
      <w:r w:rsidRPr="00653D25">
        <w:t xml:space="preserve">The changes to standard 4.1.8 </w:t>
      </w:r>
      <w:r>
        <w:t xml:space="preserve">and 4.1.9 also </w:t>
      </w:r>
      <w:r w:rsidRPr="00653D25">
        <w:t>clarif</w:t>
      </w:r>
      <w:r>
        <w:t>y</w:t>
      </w:r>
      <w:r w:rsidRPr="00653D25">
        <w:t xml:space="preserve"> the intent of the standard</w:t>
      </w:r>
      <w:r>
        <w:t>s</w:t>
      </w:r>
      <w:r w:rsidRPr="00653D25">
        <w:t xml:space="preserve"> to have an accredited stockperson </w:t>
      </w:r>
      <w:r>
        <w:t xml:space="preserve">or AAV </w:t>
      </w:r>
      <w:r w:rsidRPr="00653D25">
        <w:t>accompany each consignment of livestock for the duration of the voyage</w:t>
      </w:r>
      <w:r>
        <w:t>, referring to the ASEL</w:t>
      </w:r>
      <w:r w:rsidRPr="00653D25">
        <w:t xml:space="preserve"> definition of voyage</w:t>
      </w:r>
      <w:r>
        <w:t>.</w:t>
      </w:r>
    </w:p>
    <w:p w:rsidR="00964E2F" w:rsidP="00926622">
      <w:pPr>
        <w:pStyle w:val="Heading3"/>
        <w:numPr>
          <w:ilvl w:val="0"/>
          <w:numId w:val="0"/>
        </w:numPr>
        <w:rPr>
          <w:sz w:val="28"/>
          <w:szCs w:val="28"/>
        </w:rPr>
      </w:pPr>
      <w:r w:rsidRPr="005F7E06">
        <w:t>Amended standard</w:t>
      </w:r>
      <w:r w:rsidR="00642545">
        <w:t>s</w:t>
      </w:r>
      <w:r w:rsidRPr="005F7E06">
        <w:t xml:space="preserve"> for ASEL 3.3</w:t>
      </w:r>
    </w:p>
    <w:p w:rsidR="000D35BF" w:rsidRPr="00964E2F" w:rsidP="000D35BF">
      <w:pPr>
        <w:rPr>
          <w:rFonts w:ascii="Calibri" w:eastAsia="Times New Roman" w:hAnsi="Calibri" w:cs="Times New Roman"/>
          <w:b/>
          <w:bCs/>
          <w:sz w:val="28"/>
          <w:szCs w:val="28"/>
        </w:rPr>
      </w:pPr>
      <w:r w:rsidRPr="00786AE7">
        <w:rPr>
          <w:rFonts w:ascii="Calibri" w:eastAsia="Times New Roman" w:hAnsi="Calibri" w:cs="Times New Roman"/>
          <w:i/>
          <w:iCs/>
        </w:rPr>
        <w:t>(</w:t>
      </w:r>
      <w:r w:rsidRPr="00F7655C">
        <w:rPr>
          <w:i/>
          <w:iCs/>
        </w:rPr>
        <w:t>These</w:t>
      </w:r>
      <w:r w:rsidRPr="000D35BF">
        <w:rPr>
          <w:i/>
          <w:iCs/>
        </w:rPr>
        <w:t xml:space="preserve"> versions of Standards 4.1.8 and 4.1.9 come into force on 30 November 2023)</w:t>
      </w:r>
    </w:p>
    <w:p w:rsidR="000D35BF" w:rsidRPr="009C2DDE" w:rsidP="000D35BF">
      <w:r w:rsidRPr="009C2DDE">
        <w:rPr>
          <w:b/>
          <w:bCs/>
        </w:rPr>
        <w:t>4.1.8</w:t>
      </w:r>
      <w:r w:rsidRPr="009C2DDE">
        <w:t xml:space="preserve"> An accredited stockperson who is employed or contracted by the exporter must be appointed to accompany each consignment of livestock for the duration of the voyage. The accredited stockperson must not be a member of the vessel’s crew.</w:t>
      </w:r>
    </w:p>
    <w:p w:rsidR="0072560A" w:rsidRPr="0072560A" w:rsidP="0072560A">
      <w:r w:rsidRPr="009C2DDE">
        <w:rPr>
          <w:b/>
          <w:bCs/>
        </w:rPr>
        <w:t>4.1.9</w:t>
      </w:r>
      <w:r w:rsidRPr="009C2DDE">
        <w:t xml:space="preserve"> Unless the exporter has approval under Standard 4.1.10, an AAV must accompany each consignment of livestock for the duration of the voyage in these circumstances:</w:t>
      </w:r>
    </w:p>
    <w:p w:rsidR="00EE6EFC" w:rsidP="006E1561">
      <w:pPr>
        <w:pStyle w:val="ListNumber2"/>
        <w:numPr>
          <w:ilvl w:val="1"/>
          <w:numId w:val="38"/>
        </w:numPr>
        <w:ind w:left="284" w:hanging="284"/>
      </w:pPr>
      <w:r w:rsidRPr="0072560A">
        <w:t>if the voyage is expected to be an extended long-haul voyage; or</w:t>
      </w:r>
    </w:p>
    <w:p w:rsidR="0072560A" w:rsidRPr="0072560A" w:rsidP="006E1561">
      <w:pPr>
        <w:pStyle w:val="ListNumber2"/>
        <w:numPr>
          <w:ilvl w:val="1"/>
          <w:numId w:val="38"/>
        </w:numPr>
        <w:ind w:left="284" w:hanging="284"/>
      </w:pPr>
      <w:r w:rsidRPr="0072560A">
        <w:t xml:space="preserve">on voyages with </w:t>
      </w:r>
      <w:r w:rsidRPr="0072560A">
        <w:t>pregnant livestock; or</w:t>
      </w:r>
      <w:r w:rsidRPr="0072560A" w:rsidR="0003639E">
        <w:t xml:space="preserve"> </w:t>
      </w:r>
    </w:p>
    <w:p w:rsidR="0072560A" w:rsidRPr="0072560A" w:rsidP="0072560A">
      <w:pPr>
        <w:pStyle w:val="ListNumber2"/>
      </w:pPr>
      <w:r w:rsidRPr="0072560A">
        <w:t>if the vessel is travelling to or through the Middle East; or</w:t>
      </w:r>
    </w:p>
    <w:p w:rsidR="0003639E" w:rsidRPr="0072560A" w:rsidP="0072560A">
      <w:pPr>
        <w:pStyle w:val="ListNumber2"/>
      </w:pPr>
      <w:r w:rsidRPr="0072560A">
        <w:t>if the vessel is new or has had a significant structural change or re-fit; or</w:t>
      </w:r>
    </w:p>
    <w:p w:rsidR="0003639E" w:rsidRPr="0072560A" w:rsidP="0072560A">
      <w:pPr>
        <w:pStyle w:val="ListNumber2"/>
      </w:pPr>
      <w:r w:rsidRPr="0072560A">
        <w:t>if the consignment is the first consignment for the exporter; or</w:t>
      </w:r>
    </w:p>
    <w:p w:rsidR="000D35BF" w:rsidRPr="0072560A" w:rsidP="0072560A">
      <w:pPr>
        <w:pStyle w:val="ListNumber2"/>
      </w:pPr>
      <w:r w:rsidRPr="0072560A">
        <w:t>any other voyage when required by the department.</w:t>
      </w:r>
    </w:p>
    <w:p w:rsidR="005F7E06" w:rsidP="001C3F20">
      <w:pPr>
        <w:pStyle w:val="Heading2"/>
      </w:pPr>
      <w:r w:rsidRPr="000D35BF">
        <w:t>The definition of near and far markets</w:t>
      </w:r>
    </w:p>
    <w:p w:rsidR="00384251" w:rsidP="00BA1C68">
      <w:pPr>
        <w:pStyle w:val="BoxHeading"/>
      </w:pPr>
      <w:r>
        <w:t>Summary of feedback:</w:t>
      </w:r>
    </w:p>
    <w:p w:rsidR="00384251" w:rsidP="00BA1C68">
      <w:pPr>
        <w:pStyle w:val="BoxText"/>
      </w:pPr>
      <w:r>
        <w:t>There was widespread agreement with this proposed change among animal welfare organisations, however some suggested that all cattle should be granted the higher pen space allocation, regardless of whether they travel on short-haul or long-haul consignments. No science or evidence was provided to support this suggestion.</w:t>
      </w:r>
    </w:p>
    <w:p w:rsidR="00384251" w:rsidP="00BA1C68">
      <w:pPr>
        <w:pStyle w:val="BoxText"/>
      </w:pPr>
      <w:r>
        <w:t>Some industry bodies supported a regulatory setting based on the use of an objective measurement of voyage length but stated that the department did not provide evidence that cattle travelling under inappropriately small pen space allocations experienced poorer animal welfare outcomes. They called for the department to analyse welfare data from voyages to determine if differences in welfare outcomes exist between cattle given different pen space allocations.</w:t>
      </w:r>
    </w:p>
    <w:p w:rsidR="00384251" w:rsidP="00BA1C68">
      <w:pPr>
        <w:pStyle w:val="BoxText"/>
      </w:pPr>
      <w:r>
        <w:t>Industry also sought clarification around the application of Tables 10a and 10b considering the changes to their titles. Their concern was that some cattle travelling on voyages of 10 days or more with multiple discharge ports may not be able to access the appropriate pen space, particularly if travelling short-haul.</w:t>
      </w:r>
    </w:p>
    <w:p w:rsidR="00384251" w:rsidP="00BA1C68">
      <w:pPr>
        <w:pStyle w:val="BoxHeading"/>
      </w:pPr>
      <w:r>
        <w:t>Department response</w:t>
      </w:r>
      <w:r w:rsidRPr="00145609">
        <w:t>:</w:t>
      </w:r>
    </w:p>
    <w:p w:rsidR="00384251" w:rsidP="00BA1C68">
      <w:pPr>
        <w:pStyle w:val="BoxText"/>
      </w:pPr>
      <w:r>
        <w:t>The proposed amendments have been finalised with changes.</w:t>
      </w:r>
    </w:p>
    <w:p w:rsidR="00384251" w:rsidRPr="00926622" w:rsidP="00BA1C68">
      <w:pPr>
        <w:pStyle w:val="BoxText"/>
      </w:pPr>
      <w:r w:rsidRPr="00B75AAF">
        <w:t xml:space="preserve">Following consultation, the department </w:t>
      </w:r>
      <w:r w:rsidRPr="00B75AAF">
        <w:rPr>
          <w:lang w:eastAsia="ja-JP"/>
        </w:rPr>
        <w:t xml:space="preserve">identified that the title of </w:t>
      </w:r>
      <w:r>
        <w:rPr>
          <w:lang w:eastAsia="ja-JP"/>
        </w:rPr>
        <w:t>T</w:t>
      </w:r>
      <w:r w:rsidRPr="00B75AAF">
        <w:rPr>
          <w:lang w:eastAsia="ja-JP"/>
        </w:rPr>
        <w:t xml:space="preserve">ables 10a and 10b </w:t>
      </w:r>
      <w:r w:rsidRPr="00B75AAF">
        <w:t>referred to ‘</w:t>
      </w:r>
      <w:r w:rsidRPr="00BD603E">
        <w:rPr>
          <w:i/>
          <w:iCs/>
        </w:rPr>
        <w:t>consignments</w:t>
      </w:r>
      <w:r w:rsidRPr="00B75AAF">
        <w:t xml:space="preserve">’ of cattle, </w:t>
      </w:r>
      <w:r>
        <w:t xml:space="preserve">meaning </w:t>
      </w:r>
      <w:r w:rsidRPr="00B75AAF">
        <w:t xml:space="preserve">the pen space allocation </w:t>
      </w:r>
      <w:r>
        <w:t>is</w:t>
      </w:r>
      <w:r w:rsidRPr="00B75AAF">
        <w:t xml:space="preserve"> applied at a consignment level, rather than individual animal level. There are occasions where a single consignment may carry cattle to multiple discharge ports, with some travelling short-haul, and others in the same consignment travelling long-haul. The word ‘</w:t>
      </w:r>
      <w:r w:rsidRPr="00BD603E">
        <w:rPr>
          <w:i/>
          <w:iCs/>
        </w:rPr>
        <w:t>consignment</w:t>
      </w:r>
      <w:r>
        <w:rPr>
          <w:i/>
          <w:iCs/>
        </w:rPr>
        <w:t>s</w:t>
      </w:r>
      <w:r w:rsidRPr="00B75AAF">
        <w:t xml:space="preserve">’ </w:t>
      </w:r>
      <w:r w:rsidR="00F47E25">
        <w:t>will be</w:t>
      </w:r>
      <w:r w:rsidRPr="00B75AAF">
        <w:t xml:space="preserve"> removed</w:t>
      </w:r>
      <w:r>
        <w:t xml:space="preserve"> in the </w:t>
      </w:r>
      <w:r w:rsidRPr="00926622">
        <w:t>titles of Tables</w:t>
      </w:r>
      <w:r w:rsidR="00F47E25">
        <w:t xml:space="preserve"> 9,</w:t>
      </w:r>
      <w:r w:rsidRPr="00926622">
        <w:t xml:space="preserve"> 10a</w:t>
      </w:r>
      <w:r w:rsidR="00F47E25">
        <w:t>,</w:t>
      </w:r>
      <w:r w:rsidRPr="00926622">
        <w:t xml:space="preserve"> 10b</w:t>
      </w:r>
      <w:r w:rsidR="00F47E25">
        <w:t>, 11a, 11b, 12a, 12b, and Standards 5.3.2, 5.3.3, 5.3.4 and 5.3.5 on 30 November 2023</w:t>
      </w:r>
      <w:r w:rsidRPr="00926622">
        <w:t xml:space="preserve"> to facilitate the tables being applied to the individual animal.</w:t>
      </w:r>
    </w:p>
    <w:p w:rsidR="00384251" w:rsidP="00BA1C68">
      <w:pPr>
        <w:pStyle w:val="BoxText"/>
      </w:pPr>
      <w:r w:rsidRPr="001C3F20">
        <w:t xml:space="preserve">An additional footnote has been added to Tables 10a and 10b to clarify that the </w:t>
      </w:r>
      <w:r>
        <w:t xml:space="preserve">alternative minimum </w:t>
      </w:r>
      <w:r w:rsidRPr="001C3F20">
        <w:t xml:space="preserve">pen space allocations </w:t>
      </w:r>
      <w:r>
        <w:t>must</w:t>
      </w:r>
      <w:r w:rsidRPr="001C3F20">
        <w:t xml:space="preserve"> be applied based on the length of voyage for individual cattle. In practice, this means that each individual animal in a pen would receive the appropriate </w:t>
      </w:r>
      <w:r>
        <w:t xml:space="preserve">alternative </w:t>
      </w:r>
      <w:r w:rsidRPr="001C3F20">
        <w:t>minimum pen space required</w:t>
      </w:r>
      <w:r>
        <w:t>,</w:t>
      </w:r>
      <w:r w:rsidRPr="001C3F20">
        <w:t xml:space="preserve"> based on the length of voyage they are undertaking.</w:t>
      </w:r>
    </w:p>
    <w:p w:rsidR="00384251" w:rsidP="00BA1C68">
      <w:pPr>
        <w:pStyle w:val="BoxText"/>
      </w:pPr>
      <w:r>
        <w:t>Following consultation, the department identified one further reference to near and far markets, in standard 5.3.3. To align with changes to the title of Tables 10a and 10b, ‘</w:t>
      </w:r>
      <w:r w:rsidRPr="00BD603E">
        <w:rPr>
          <w:i/>
          <w:iCs/>
        </w:rPr>
        <w:t>near markets’</w:t>
      </w:r>
      <w:r>
        <w:t xml:space="preserve"> has been replaced with ‘</w:t>
      </w:r>
      <w:r w:rsidRPr="00BD603E">
        <w:rPr>
          <w:i/>
          <w:iCs/>
        </w:rPr>
        <w:t>short-haul’</w:t>
      </w:r>
      <w:r>
        <w:t xml:space="preserve"> and ‘</w:t>
      </w:r>
      <w:r w:rsidRPr="00BD603E">
        <w:rPr>
          <w:i/>
          <w:iCs/>
        </w:rPr>
        <w:t>far markets’</w:t>
      </w:r>
      <w:r>
        <w:t xml:space="preserve"> has been replaced with ‘</w:t>
      </w:r>
      <w:r w:rsidRPr="00BD603E">
        <w:rPr>
          <w:i/>
          <w:iCs/>
        </w:rPr>
        <w:t>long-haul’</w:t>
      </w:r>
      <w:r>
        <w:t>.</w:t>
      </w:r>
    </w:p>
    <w:p w:rsidR="00384251" w:rsidP="00BA1C68">
      <w:pPr>
        <w:pStyle w:val="BoxText"/>
      </w:pPr>
      <w:r w:rsidRPr="007144F5">
        <w:t xml:space="preserve">Further engagement with </w:t>
      </w:r>
      <w:r>
        <w:t>industry</w:t>
      </w:r>
      <w:r w:rsidRPr="007144F5">
        <w:t xml:space="preserve"> regarding</w:t>
      </w:r>
      <w:r>
        <w:t xml:space="preserve"> the associated minimum recommended voyage length policy </w:t>
      </w:r>
      <w:r w:rsidRPr="007144F5">
        <w:t xml:space="preserve">will be undertaken by </w:t>
      </w:r>
      <w:r>
        <w:t>the department as</w:t>
      </w:r>
      <w:r w:rsidRPr="007144F5">
        <w:t xml:space="preserve"> part of implementation policy consultation and development.</w:t>
      </w:r>
    </w:p>
    <w:p w:rsidR="00384251" w:rsidRPr="00455013" w:rsidP="00BA1C68">
      <w:pPr>
        <w:pStyle w:val="BoxText"/>
      </w:pPr>
      <w:r>
        <w:t>The changes remove the ineffective near and far market definitions. Data analysis indicated the current geographical demarcation of near and far markets (introduced in ASEL 3.1 to approximate a typical 10-day voyage) was ineffective in predicting voyage length and that significant numbers of cattle exported from northern Australia travel under inappropriate pen space allocations.</w:t>
      </w:r>
    </w:p>
    <w:p w:rsidR="00383BAF" w:rsidRPr="005F7E06" w:rsidP="001C3F20">
      <w:pPr>
        <w:pStyle w:val="Heading3"/>
        <w:numPr>
          <w:ilvl w:val="0"/>
          <w:numId w:val="0"/>
        </w:numPr>
        <w:rPr>
          <w:sz w:val="28"/>
          <w:szCs w:val="28"/>
        </w:rPr>
      </w:pPr>
      <w:r>
        <w:t>A</w:t>
      </w:r>
      <w:r w:rsidRPr="005F7E06">
        <w:t xml:space="preserve">mended </w:t>
      </w:r>
      <w:r>
        <w:t xml:space="preserve">table titles and </w:t>
      </w:r>
      <w:r w:rsidRPr="005F7E06">
        <w:t xml:space="preserve">standard </w:t>
      </w:r>
      <w:r>
        <w:t>and deleted definition</w:t>
      </w:r>
      <w:r w:rsidR="007C6E43">
        <w:t>s</w:t>
      </w:r>
      <w:r w:rsidRPr="005F7E06">
        <w:t xml:space="preserve"> for ASEL 3.3</w:t>
      </w:r>
    </w:p>
    <w:p w:rsidR="000D35BF" w:rsidRPr="001C3F20" w:rsidP="001C3F20">
      <w:pPr>
        <w:rPr>
          <w:b/>
          <w:bCs/>
          <w:i/>
          <w:iCs/>
        </w:rPr>
      </w:pPr>
      <w:r w:rsidRPr="001C3F20">
        <w:rPr>
          <w:i/>
          <w:iCs/>
        </w:rPr>
        <w:t>(These versions of the title</w:t>
      </w:r>
      <w:r w:rsidR="00786AE7">
        <w:rPr>
          <w:i/>
          <w:iCs/>
        </w:rPr>
        <w:t>s</w:t>
      </w:r>
      <w:r w:rsidRPr="001C3F20">
        <w:rPr>
          <w:i/>
          <w:iCs/>
        </w:rPr>
        <w:t xml:space="preserve"> of Table</w:t>
      </w:r>
      <w:r w:rsidR="00E8034E">
        <w:rPr>
          <w:i/>
          <w:iCs/>
        </w:rPr>
        <w:t>s</w:t>
      </w:r>
      <w:r w:rsidRPr="001C3F20">
        <w:rPr>
          <w:i/>
          <w:iCs/>
        </w:rPr>
        <w:t xml:space="preserve"> 10a and 10b, definitions and Standard 5.3.3 come into force on 3 April 2024)</w:t>
      </w:r>
    </w:p>
    <w:p w:rsidR="000D35BF" w:rsidRPr="001C3F20" w:rsidP="001C3F20">
      <w:pPr>
        <w:rPr>
          <w:b/>
          <w:bCs/>
        </w:rPr>
      </w:pPr>
      <w:r w:rsidRPr="001C3F20">
        <w:rPr>
          <w:b/>
          <w:bCs/>
        </w:rPr>
        <w:t>Tables</w:t>
      </w:r>
    </w:p>
    <w:p w:rsidR="000D35BF" w:rsidRPr="009C2DDE" w:rsidP="000D35BF">
      <w:pPr>
        <w:pStyle w:val="ListBullet"/>
        <w:numPr>
          <w:ilvl w:val="0"/>
          <w:numId w:val="0"/>
        </w:numPr>
      </w:pPr>
      <w:r w:rsidRPr="009C2DDE">
        <w:t>Table 10a Alternative minimum pen space allocation for cattle loaded at a port north of latitude 26°S where an exporter is approved to use the alternative pen space –</w:t>
      </w:r>
      <w:r w:rsidR="00711CDE">
        <w:t xml:space="preserve"> </w:t>
      </w:r>
      <w:r w:rsidRPr="009C2DDE">
        <w:t>short-haul</w:t>
      </w:r>
    </w:p>
    <w:p w:rsidR="000D35BF" w:rsidP="000D35BF">
      <w:pPr>
        <w:pStyle w:val="ListBullet"/>
        <w:numPr>
          <w:ilvl w:val="0"/>
          <w:numId w:val="0"/>
        </w:numPr>
      </w:pPr>
      <w:r w:rsidRPr="009C2DDE">
        <w:t>Table 10b Alternative minimum pen space allocation for cattle loaded at a port north of latitude 26°S where an exporter is approved to use the alternative pen space –</w:t>
      </w:r>
      <w:r w:rsidR="00711CDE">
        <w:t xml:space="preserve"> </w:t>
      </w:r>
      <w:r w:rsidRPr="009C2DDE">
        <w:t>long-haul</w:t>
      </w:r>
    </w:p>
    <w:p w:rsidR="007E54CC" w:rsidRPr="001C3F20" w:rsidP="001C3F20">
      <w:pPr>
        <w:rPr>
          <w:b/>
          <w:bCs/>
        </w:rPr>
      </w:pPr>
      <w:r w:rsidRPr="00926622">
        <w:rPr>
          <w:b/>
          <w:bCs/>
        </w:rPr>
        <w:t xml:space="preserve">Footnote for </w:t>
      </w:r>
      <w:r w:rsidRPr="00926622" w:rsidR="001B3270">
        <w:rPr>
          <w:b/>
          <w:bCs/>
        </w:rPr>
        <w:t>Tables 10a and 10b</w:t>
      </w:r>
      <w:r w:rsidRPr="00926622">
        <w:rPr>
          <w:b/>
          <w:bCs/>
        </w:rPr>
        <w:t>:</w:t>
      </w:r>
    </w:p>
    <w:p w:rsidR="001B3270" w:rsidP="001B3270">
      <w:pPr>
        <w:rPr>
          <w:rFonts w:ascii="Calibri" w:hAnsi="Calibri" w:cs="Calibri"/>
          <w:i/>
          <w:iCs/>
        </w:rPr>
      </w:pPr>
      <w:r>
        <w:rPr>
          <w:rStyle w:val="ui-provider"/>
          <w:i/>
          <w:iCs/>
        </w:rPr>
        <w:t xml:space="preserve">Alternative minimum pen space allocation </w:t>
      </w:r>
      <w:r w:rsidR="00926622">
        <w:rPr>
          <w:rStyle w:val="ui-provider"/>
          <w:i/>
          <w:iCs/>
        </w:rPr>
        <w:t>must</w:t>
      </w:r>
      <w:r>
        <w:rPr>
          <w:rStyle w:val="ui-provider"/>
          <w:i/>
          <w:iCs/>
        </w:rPr>
        <w:t xml:space="preserve"> be applied according to the length of voyage for individual cattle.</w:t>
      </w:r>
    </w:p>
    <w:p w:rsidR="000D35BF" w:rsidP="000D35BF">
      <w:r w:rsidRPr="009C2DDE">
        <w:rPr>
          <w:b/>
          <w:bCs/>
        </w:rPr>
        <w:t>5.3.3</w:t>
      </w:r>
      <w:r w:rsidRPr="009C2DDE">
        <w:t xml:space="preserve"> Standard 5.3.2 applies unless an exporter is approved in writing under their approved arrangement to use alternative pen space for cattle loaded at a port north of latitude 26°S to a particular destination. The alternative pen space allocation is contained in Table 10a for short-haul. Table 10b contains the alternative pen space allocation for long-haul. For weights between those shown in Table 10a or those shown in Table 10b, the minimum pen area per head must be calculated by linear interpolation. Daily </w:t>
      </w:r>
      <w:r w:rsidRPr="009C2DDE">
        <w:t>reports must be provided as set out in Standard 5.6.6.</w:t>
      </w:r>
    </w:p>
    <w:p w:rsidR="00CC6A9E" w:rsidRPr="001C3F20" w:rsidP="001C3F20">
      <w:pPr>
        <w:rPr>
          <w:b/>
          <w:bCs/>
        </w:rPr>
      </w:pPr>
      <w:r w:rsidRPr="001C3F20">
        <w:rPr>
          <w:b/>
          <w:bCs/>
        </w:rPr>
        <w:t>Delete near market and far market definitions.</w:t>
      </w:r>
    </w:p>
    <w:p w:rsidR="0007416D" w:rsidP="001C3F20">
      <w:pPr>
        <w:pStyle w:val="Heading2"/>
      </w:pPr>
      <w:r w:rsidRPr="00095DBD">
        <w:t>The requirement for contingency plans for escaped livestock – Sea and Air</w:t>
      </w:r>
    </w:p>
    <w:p w:rsidR="00384251" w:rsidP="00BA1C68">
      <w:pPr>
        <w:pStyle w:val="BoxHeading"/>
      </w:pPr>
      <w:r>
        <w:t>Summary of feedback:</w:t>
      </w:r>
    </w:p>
    <w:p w:rsidR="00384251" w:rsidP="00BA1C68">
      <w:pPr>
        <w:pStyle w:val="BoxText"/>
      </w:pPr>
      <w:r>
        <w:t xml:space="preserve">There was broad support for </w:t>
      </w:r>
      <w:r w:rsidRPr="005B6E5C">
        <w:t xml:space="preserve">the </w:t>
      </w:r>
      <w:r>
        <w:t xml:space="preserve">proposed </w:t>
      </w:r>
      <w:r w:rsidRPr="005B6E5C">
        <w:t>amendments</w:t>
      </w:r>
      <w:r>
        <w:t>. Some feedback stated that it was preferable to have export requirements written into an ASEL standard rather than conveyed in an export advisory notice. There were many suggestions to include the unloading process in the contingency plan.</w:t>
      </w:r>
    </w:p>
    <w:p w:rsidR="00384251" w:rsidP="00BA1C68">
      <w:pPr>
        <w:pStyle w:val="BoxHeading"/>
      </w:pPr>
      <w:r>
        <w:t>Department response</w:t>
      </w:r>
      <w:r w:rsidRPr="00145609">
        <w:t>:</w:t>
      </w:r>
    </w:p>
    <w:p w:rsidR="00384251" w:rsidP="00BA1C68">
      <w:pPr>
        <w:pStyle w:val="BoxText"/>
      </w:pPr>
      <w:r>
        <w:t>The proposed amendments have been finalised with changes.</w:t>
      </w:r>
    </w:p>
    <w:p w:rsidR="00384251" w:rsidP="00BA1C68">
      <w:pPr>
        <w:pStyle w:val="BoxText"/>
      </w:pPr>
      <w:r>
        <w:t xml:space="preserve">Following consultation, the department identified an inconsistency in the </w:t>
      </w:r>
      <w:r>
        <w:t>wording between sea and air contingency plan requirements regarding contact ‘</w:t>
      </w:r>
      <w:r w:rsidRPr="002624BC">
        <w:rPr>
          <w:i/>
          <w:iCs/>
        </w:rPr>
        <w:t>details’</w:t>
      </w:r>
      <w:r>
        <w:t xml:space="preserve"> or ‘</w:t>
      </w:r>
      <w:r w:rsidRPr="002624BC">
        <w:rPr>
          <w:i/>
          <w:iCs/>
        </w:rPr>
        <w:t>procedures</w:t>
      </w:r>
      <w:r>
        <w:t>’ for contacting the exporter. The word ‘</w:t>
      </w:r>
      <w:r w:rsidRPr="002624BC">
        <w:rPr>
          <w:i/>
          <w:iCs/>
        </w:rPr>
        <w:t>details</w:t>
      </w:r>
      <w:r>
        <w:t>’ in standard 6.1.29 has been replaced with</w:t>
      </w:r>
      <w:r w:rsidRPr="00FD0EC5">
        <w:t xml:space="preserve"> </w:t>
      </w:r>
      <w:r w:rsidRPr="002624BC">
        <w:rPr>
          <w:i/>
          <w:iCs/>
        </w:rPr>
        <w:t>‘procedures’</w:t>
      </w:r>
      <w:r w:rsidRPr="00FD0EC5">
        <w:t xml:space="preserve"> to</w:t>
      </w:r>
      <w:r>
        <w:t xml:space="preserve"> align with the wording in standard 4.1.18.</w:t>
      </w:r>
    </w:p>
    <w:p w:rsidR="00384251" w:rsidP="00BA1C68">
      <w:pPr>
        <w:pStyle w:val="BoxText"/>
        <w:rPr>
          <w:lang w:eastAsia="ja-JP"/>
        </w:rPr>
      </w:pPr>
      <w:r>
        <w:rPr>
          <w:lang w:eastAsia="ja-JP"/>
        </w:rPr>
        <w:t xml:space="preserve">The proposed </w:t>
      </w:r>
      <w:r w:rsidRPr="00726C98">
        <w:rPr>
          <w:lang w:eastAsia="ja-JP"/>
        </w:rPr>
        <w:t>change</w:t>
      </w:r>
      <w:r>
        <w:rPr>
          <w:lang w:eastAsia="ja-JP"/>
        </w:rPr>
        <w:t>s</w:t>
      </w:r>
      <w:r w:rsidRPr="00726C98">
        <w:rPr>
          <w:lang w:eastAsia="ja-JP"/>
        </w:rPr>
        <w:t xml:space="preserve"> </w:t>
      </w:r>
      <w:r>
        <w:rPr>
          <w:lang w:eastAsia="ja-JP"/>
        </w:rPr>
        <w:t>incorporate</w:t>
      </w:r>
      <w:r w:rsidRPr="00726C98">
        <w:rPr>
          <w:lang w:eastAsia="ja-JP"/>
        </w:rPr>
        <w:t xml:space="preserve"> the content of</w:t>
      </w:r>
      <w:r>
        <w:rPr>
          <w:lang w:eastAsia="ja-JP"/>
        </w:rPr>
        <w:t xml:space="preserve"> </w:t>
      </w:r>
      <w:r w:rsidRPr="00A136D8">
        <w:rPr>
          <w:lang w:eastAsia="ja-JP"/>
        </w:rPr>
        <w:t>EAN 2012-07</w:t>
      </w:r>
      <w:r>
        <w:rPr>
          <w:lang w:eastAsia="ja-JP"/>
        </w:rPr>
        <w:t xml:space="preserve"> (Contingency plans for escaped of livestock) w</w:t>
      </w:r>
      <w:r w:rsidRPr="00726C98">
        <w:rPr>
          <w:lang w:eastAsia="ja-JP"/>
        </w:rPr>
        <w:t>hich required exporters to have a contingency plan for dealing humanely with livestock that escape during the process of loading a vessel</w:t>
      </w:r>
      <w:r>
        <w:rPr>
          <w:lang w:eastAsia="ja-JP"/>
        </w:rPr>
        <w:t>.</w:t>
      </w:r>
      <w:r w:rsidRPr="00726C98">
        <w:rPr>
          <w:lang w:eastAsia="ja-JP"/>
        </w:rPr>
        <w:t xml:space="preserve"> </w:t>
      </w:r>
      <w:r>
        <w:t>The changes to this standard</w:t>
      </w:r>
      <w:r w:rsidRPr="00726C98">
        <w:rPr>
          <w:lang w:eastAsia="ja-JP"/>
        </w:rPr>
        <w:t xml:space="preserve"> will ensure exporters have identified the course of action to respond appropriately </w:t>
      </w:r>
      <w:r>
        <w:rPr>
          <w:lang w:eastAsia="ja-JP"/>
        </w:rPr>
        <w:t xml:space="preserve">in the event of </w:t>
      </w:r>
      <w:r w:rsidRPr="00726C98">
        <w:rPr>
          <w:lang w:eastAsia="ja-JP"/>
        </w:rPr>
        <w:t>escaped livestock at the port of departure</w:t>
      </w:r>
      <w:r>
        <w:rPr>
          <w:lang w:eastAsia="ja-JP"/>
        </w:rPr>
        <w:t>.</w:t>
      </w:r>
    </w:p>
    <w:p w:rsidR="00384251" w:rsidRPr="00455013" w:rsidP="00BA1C68">
      <w:pPr>
        <w:pStyle w:val="BoxText"/>
      </w:pPr>
      <w:r>
        <w:rPr>
          <w:lang w:eastAsia="ja-JP"/>
        </w:rPr>
        <w:t xml:space="preserve">Some feedback suggested incorporating the unloading process into the contingency plan. </w:t>
      </w:r>
      <w:r>
        <w:t>This suggestion has been recorded for further consideration after the 2023 ASEL update.</w:t>
      </w:r>
    </w:p>
    <w:p w:rsidR="00FD0EC5" w:rsidRPr="005F7E06" w:rsidP="001C3F20">
      <w:pPr>
        <w:pStyle w:val="Heading3"/>
        <w:numPr>
          <w:ilvl w:val="0"/>
          <w:numId w:val="0"/>
        </w:numPr>
        <w:rPr>
          <w:sz w:val="28"/>
          <w:szCs w:val="28"/>
        </w:rPr>
      </w:pPr>
      <w:r w:rsidRPr="005F7E06">
        <w:t>Amended standard</w:t>
      </w:r>
      <w:r>
        <w:t>s</w:t>
      </w:r>
      <w:r w:rsidRPr="005F7E06">
        <w:t xml:space="preserve"> for ASEL 3.3</w:t>
      </w:r>
    </w:p>
    <w:p w:rsidR="000D35BF" w:rsidRPr="001C3F20" w:rsidP="001C3F20">
      <w:pPr>
        <w:rPr>
          <w:i/>
          <w:iCs/>
        </w:rPr>
      </w:pPr>
      <w:r w:rsidRPr="00786AE7">
        <w:rPr>
          <w:i/>
          <w:iCs/>
        </w:rPr>
        <w:t>(</w:t>
      </w:r>
      <w:r w:rsidRPr="001C3F20">
        <w:rPr>
          <w:i/>
          <w:iCs/>
        </w:rPr>
        <w:t>These version</w:t>
      </w:r>
      <w:r w:rsidRPr="001C3F20" w:rsidR="00C462D1">
        <w:rPr>
          <w:i/>
          <w:iCs/>
        </w:rPr>
        <w:t>s</w:t>
      </w:r>
      <w:r w:rsidRPr="001C3F20">
        <w:rPr>
          <w:i/>
          <w:iCs/>
        </w:rPr>
        <w:t xml:space="preserve"> of Standard 4.1.18 and 6.1.29 come into force on 30 November 2023</w:t>
      </w:r>
      <w:r w:rsidRPr="001C3F20" w:rsidR="00095DBD">
        <w:rPr>
          <w:i/>
          <w:iCs/>
        </w:rPr>
        <w:t>)</w:t>
      </w:r>
    </w:p>
    <w:p w:rsidR="000D35BF" w:rsidRPr="009C2DDE" w:rsidP="000D35BF">
      <w:r w:rsidRPr="009C2DDE">
        <w:rPr>
          <w:b/>
          <w:bCs/>
        </w:rPr>
        <w:t>4.1.18</w:t>
      </w:r>
      <w:r w:rsidRPr="009C2DDE">
        <w:t xml:space="preserve"> Contingency plans, including procedures for contacting the exporter, must be prepared in writing for each consignment that address:</w:t>
      </w:r>
    </w:p>
    <w:p w:rsidR="006E1561" w:rsidP="006E1561">
      <w:pPr>
        <w:pStyle w:val="ListNumber2"/>
        <w:numPr>
          <w:ilvl w:val="1"/>
          <w:numId w:val="33"/>
        </w:numPr>
        <w:ind w:left="284" w:hanging="284"/>
      </w:pPr>
      <w:r w:rsidRPr="006E1561">
        <w:t>mechanical breakdown of the vessel or functionality relevant to maintaining the livestock’s health and welfare; and</w:t>
      </w:r>
    </w:p>
    <w:p w:rsidR="006E1561" w:rsidP="006E1561">
      <w:pPr>
        <w:pStyle w:val="ListNumber2"/>
        <w:numPr>
          <w:ilvl w:val="1"/>
          <w:numId w:val="33"/>
        </w:numPr>
        <w:ind w:left="284" w:hanging="284"/>
      </w:pPr>
      <w:r>
        <w:t xml:space="preserve">a </w:t>
      </w:r>
      <w:r w:rsidRPr="006E1561" w:rsidR="003B1BA7">
        <w:t>feed and/or water shortage during the voyage; and</w:t>
      </w:r>
    </w:p>
    <w:p w:rsidR="006E1561" w:rsidP="006E1561">
      <w:pPr>
        <w:pStyle w:val="ListNumber2"/>
        <w:numPr>
          <w:ilvl w:val="1"/>
          <w:numId w:val="33"/>
        </w:numPr>
        <w:ind w:left="284" w:hanging="284"/>
      </w:pPr>
      <w:r w:rsidRPr="006E1561">
        <w:t xml:space="preserve">the </w:t>
      </w:r>
      <w:r w:rsidRPr="006E1561">
        <w:t>satisfactory tending, feeding and watering of the livestock in the event of a malfunction of the automatic feeding or watering systems, without compromising the safe navigation of the vessel; and</w:t>
      </w:r>
    </w:p>
    <w:p w:rsidR="006E1561" w:rsidP="006E1561">
      <w:pPr>
        <w:pStyle w:val="ListNumber2"/>
        <w:numPr>
          <w:ilvl w:val="1"/>
          <w:numId w:val="33"/>
        </w:numPr>
        <w:ind w:left="284" w:hanging="284"/>
      </w:pPr>
      <w:r w:rsidRPr="006E1561">
        <w:t>an outbreak of a disease during the voyage; and</w:t>
      </w:r>
    </w:p>
    <w:p w:rsidR="006E1561" w:rsidP="006E1561">
      <w:pPr>
        <w:pStyle w:val="ListNumber2"/>
        <w:numPr>
          <w:ilvl w:val="1"/>
          <w:numId w:val="33"/>
        </w:numPr>
        <w:ind w:left="284" w:hanging="284"/>
      </w:pPr>
      <w:r w:rsidRPr="006E1561">
        <w:t>adverse weather conditions during the voyage; and</w:t>
      </w:r>
    </w:p>
    <w:p w:rsidR="006E1561" w:rsidP="006E1561">
      <w:pPr>
        <w:pStyle w:val="ListNumber2"/>
        <w:numPr>
          <w:ilvl w:val="1"/>
          <w:numId w:val="33"/>
        </w:numPr>
        <w:ind w:left="284" w:hanging="284"/>
      </w:pPr>
      <w:r w:rsidRPr="006E1561">
        <w:t>rejection of the consignment by the overseas country; and</w:t>
      </w:r>
    </w:p>
    <w:p w:rsidR="000D35BF" w:rsidRPr="006E1561" w:rsidP="006E1561">
      <w:pPr>
        <w:pStyle w:val="ListNumber2"/>
        <w:numPr>
          <w:ilvl w:val="1"/>
          <w:numId w:val="33"/>
        </w:numPr>
        <w:ind w:left="284" w:hanging="284"/>
      </w:pPr>
      <w:r w:rsidRPr="006E1561">
        <w:t>procedures for the humane recapture of livestock that escape during the loading process.</w:t>
      </w:r>
    </w:p>
    <w:p w:rsidR="000D35BF" w:rsidRPr="009C2DDE" w:rsidP="000D35BF">
      <w:r w:rsidRPr="009C2DDE">
        <w:rPr>
          <w:b/>
          <w:bCs/>
        </w:rPr>
        <w:t>6.1.29</w:t>
      </w:r>
      <w:r w:rsidRPr="009C2DDE">
        <w:t xml:space="preserve"> Contingency plans for an air export journey, including procedures for contacting the exporter, must be prepared in writing for each consignment that address:</w:t>
      </w:r>
    </w:p>
    <w:p w:rsidR="000D35BF" w:rsidRPr="009C2DDE" w:rsidP="006E1561">
      <w:pPr>
        <w:pStyle w:val="ListNumber2"/>
        <w:numPr>
          <w:ilvl w:val="1"/>
          <w:numId w:val="43"/>
        </w:numPr>
        <w:ind w:left="284" w:hanging="284"/>
      </w:pPr>
      <w:r w:rsidRPr="009C2DDE">
        <w:t>unavailability of the aircraft to be used for the air transportation; and</w:t>
      </w:r>
    </w:p>
    <w:p w:rsidR="000D35BF" w:rsidRPr="009C2DDE" w:rsidP="006E1561">
      <w:pPr>
        <w:pStyle w:val="ListNumber2"/>
      </w:pPr>
      <w:r w:rsidRPr="009C2DDE">
        <w:t xml:space="preserve">mechanical breakdown, including partial or full disablement of the </w:t>
      </w:r>
      <w:r w:rsidRPr="009C2DDE">
        <w:t>ventilation system; and</w:t>
      </w:r>
    </w:p>
    <w:p w:rsidR="000D35BF" w:rsidRPr="009C2DDE" w:rsidP="006E1561">
      <w:pPr>
        <w:pStyle w:val="ListNumber2"/>
      </w:pPr>
      <w:r w:rsidRPr="009C2DDE">
        <w:t>rejection of the consignment, by the importing country; and</w:t>
      </w:r>
    </w:p>
    <w:p w:rsidR="000D35BF" w:rsidRPr="009C2DDE" w:rsidP="006E1561">
      <w:pPr>
        <w:pStyle w:val="ListNumber2"/>
      </w:pPr>
      <w:r w:rsidRPr="009C2DDE">
        <w:t>diversion and landing at a location different from the intended transit stop(s) or destination and how the welfare of animals will be overseen; and</w:t>
      </w:r>
    </w:p>
    <w:p w:rsidR="000D35BF" w:rsidRPr="009C2DDE" w:rsidP="006E1561">
      <w:pPr>
        <w:pStyle w:val="ListNumber2"/>
      </w:pPr>
      <w:r w:rsidRPr="009C2DDE">
        <w:t>euthanasia on board the aircraft if a competent stock handler is accompanying livestock, if livestock are accessible and if it is safe to do so, or as soon as possible after unloading from the aircraft; and</w:t>
      </w:r>
    </w:p>
    <w:p w:rsidR="000D35BF" w:rsidRPr="009C2DDE" w:rsidP="006E1561">
      <w:pPr>
        <w:pStyle w:val="ListNumber2"/>
      </w:pPr>
      <w:r w:rsidRPr="009C2DDE">
        <w:t>procedures for the humane recapture of livestock that escape during the loading process.</w:t>
      </w:r>
    </w:p>
    <w:p w:rsidR="00FD0EC5" w:rsidP="001C3F20">
      <w:pPr>
        <w:pStyle w:val="Heading2"/>
      </w:pPr>
      <w:r w:rsidRPr="00095DBD">
        <w:t>Penning requirements for horned cattle</w:t>
      </w:r>
    </w:p>
    <w:p w:rsidR="0003639E" w:rsidP="00BA1C68">
      <w:pPr>
        <w:pStyle w:val="BoxHeading"/>
      </w:pPr>
      <w:r>
        <w:t>Summary of feedback:</w:t>
      </w:r>
    </w:p>
    <w:p w:rsidR="0003639E" w:rsidP="00BA1C68">
      <w:pPr>
        <w:pStyle w:val="BoxText"/>
      </w:pPr>
      <w:r>
        <w:t>Industry members generally supported the proposed amendments stating they allowed for added flexibility in penning arrangements for horned cattle and would improve animal welfare. One industry member stated they had no reports of injury caused by horned cattle in their facilities. Some feedback raised concerns that cattle with longer horns posed an increased risk of injury and / or entrapment which may result in poorer welfare outcomes.</w:t>
      </w:r>
    </w:p>
    <w:p w:rsidR="0003639E" w:rsidP="00BA1C68">
      <w:pPr>
        <w:pStyle w:val="BoxText"/>
      </w:pPr>
      <w:r>
        <w:t>Feedback provided a range of alternative suggestions for cattle horn length requirements, including that cattle with horns up to 16 cm should be able to be exported, and that cattle with horns longer than 2.5 cm should not be able to be exported. No science or evidence was provided to support these suggestions.</w:t>
      </w:r>
    </w:p>
    <w:p w:rsidR="0003639E" w:rsidP="00BA1C68">
      <w:pPr>
        <w:pStyle w:val="BoxText"/>
      </w:pPr>
      <w:r>
        <w:t>Some feedback called for the rejection criteria guidebooks to be updated with photos to demonstrate non-eligible animals.</w:t>
      </w:r>
    </w:p>
    <w:p w:rsidR="0003639E" w:rsidP="00BA1C68">
      <w:pPr>
        <w:pStyle w:val="BoxHeading"/>
      </w:pPr>
      <w:r>
        <w:t>Department response</w:t>
      </w:r>
      <w:r w:rsidRPr="00145609">
        <w:t>:</w:t>
      </w:r>
    </w:p>
    <w:p w:rsidR="0003639E" w:rsidP="00BA1C68">
      <w:pPr>
        <w:pStyle w:val="BoxText"/>
      </w:pPr>
      <w:r>
        <w:t>The proposed amendments have been finalised without further changes.</w:t>
      </w:r>
    </w:p>
    <w:p w:rsidR="0003639E" w:rsidRPr="0003639E" w:rsidP="00BA1C68">
      <w:pPr>
        <w:pStyle w:val="BoxText"/>
      </w:pPr>
      <w:r>
        <w:t>T</w:t>
      </w:r>
      <w:r w:rsidRPr="003F38C9">
        <w:t xml:space="preserve">he </w:t>
      </w:r>
      <w:r>
        <w:t>proposed</w:t>
      </w:r>
      <w:r w:rsidRPr="003F38C9">
        <w:t xml:space="preserve"> </w:t>
      </w:r>
      <w:r>
        <w:t>changes to standards 1.4.8 and 5.3.1</w:t>
      </w:r>
      <w:r w:rsidRPr="003F38C9">
        <w:t xml:space="preserve"> </w:t>
      </w:r>
      <w:r>
        <w:t>allow for added flexibility in penning arrangements for horned cattle and reflect the different risk profile for cattle with horns that point downwards parallel to the face, compared to cattle with outward-projecting horns.</w:t>
      </w:r>
    </w:p>
    <w:p w:rsidR="0024550C" w:rsidRPr="005F7E06" w:rsidP="001C3F20">
      <w:pPr>
        <w:pStyle w:val="Heading3"/>
        <w:numPr>
          <w:ilvl w:val="0"/>
          <w:numId w:val="0"/>
        </w:numPr>
        <w:rPr>
          <w:sz w:val="28"/>
          <w:szCs w:val="28"/>
        </w:rPr>
      </w:pPr>
      <w:r w:rsidRPr="005F7E06">
        <w:t>Amended standard</w:t>
      </w:r>
      <w:r>
        <w:t>s</w:t>
      </w:r>
      <w:r w:rsidRPr="005F7E06">
        <w:t xml:space="preserve"> for ASEL 3.3</w:t>
      </w:r>
    </w:p>
    <w:p w:rsidR="000D35BF" w:rsidRPr="001C3F20" w:rsidP="001C3F20">
      <w:pPr>
        <w:rPr>
          <w:b/>
          <w:bCs/>
          <w:i/>
          <w:iCs/>
        </w:rPr>
      </w:pPr>
      <w:r w:rsidRPr="00786AE7">
        <w:rPr>
          <w:i/>
          <w:iCs/>
        </w:rPr>
        <w:t>(</w:t>
      </w:r>
      <w:r w:rsidRPr="001C3F20">
        <w:rPr>
          <w:i/>
          <w:iCs/>
        </w:rPr>
        <w:t>These versions of Standards 1.4.8 and 5.3.1 come into force on 30 November 2023</w:t>
      </w:r>
      <w:r w:rsidRPr="001C3F20" w:rsidR="00095DBD">
        <w:rPr>
          <w:i/>
          <w:iCs/>
        </w:rPr>
        <w:t>)</w:t>
      </w:r>
    </w:p>
    <w:p w:rsidR="000D35BF" w:rsidRPr="009C2DDE" w:rsidP="000D35BF">
      <w:r w:rsidRPr="009C2DDE">
        <w:rPr>
          <w:b/>
          <w:bCs/>
        </w:rPr>
        <w:t>1.4.8</w:t>
      </w:r>
      <w:r w:rsidRPr="009C2DDE">
        <w:t xml:space="preserve"> Cattle with horns must only be sourced for export or exported if the solid non-vascular tip has been removed to a diameter of 3cm (or less if the horn vasculature does not allow) and horns have a blunt horn end; and</w:t>
      </w:r>
    </w:p>
    <w:p w:rsidR="000D35BF" w:rsidRPr="009C2DDE" w:rsidP="006E1561">
      <w:pPr>
        <w:pStyle w:val="ListNumber2"/>
        <w:numPr>
          <w:ilvl w:val="1"/>
          <w:numId w:val="44"/>
        </w:numPr>
        <w:ind w:left="284" w:hanging="284"/>
      </w:pPr>
      <w:r w:rsidRPr="009C2DDE">
        <w:t xml:space="preserve">horns are no longer than 12cm in length at the time of export, unless otherwise provided in a </w:t>
      </w:r>
      <w:r w:rsidRPr="006E1561">
        <w:rPr>
          <w:i/>
          <w:iCs/>
        </w:rPr>
        <w:t>long-horned livestock management plan</w:t>
      </w:r>
      <w:r w:rsidRPr="009C2DDE">
        <w:t xml:space="preserve"> approved in writing by the department, or</w:t>
      </w:r>
    </w:p>
    <w:p w:rsidR="000D35BF" w:rsidRPr="009C2DDE" w:rsidP="006E1561">
      <w:pPr>
        <w:pStyle w:val="ListNumber2"/>
      </w:pPr>
      <w:bookmarkStart w:id="0" w:name="_Hlk137832454"/>
      <w:r w:rsidRPr="009C2DDE">
        <w:t>horns are longer than 12cm in length at the time of export and are pointing downwards parallel to the face and do not show signs consistent with the rejection criteria specified in Table 1.</w:t>
      </w:r>
      <w:bookmarkEnd w:id="0"/>
    </w:p>
    <w:p w:rsidR="000D35BF" w:rsidRPr="009C2DDE" w:rsidP="000D35BF">
      <w:r w:rsidRPr="009C2DDE">
        <w:rPr>
          <w:b/>
          <w:bCs/>
        </w:rPr>
        <w:t>5.3.1</w:t>
      </w:r>
      <w:r w:rsidRPr="009C2DDE">
        <w:t xml:space="preserve"> The minimum pen space allocations for cattle exported by sea are contained in Table 9, Table 10a, Table 10b, Table 11a, Table 11b, Table 12a and Table 12b. These penning criteria apply:</w:t>
      </w:r>
    </w:p>
    <w:p w:rsidR="000D35BF" w:rsidRPr="006E1561" w:rsidP="006E1561">
      <w:pPr>
        <w:pStyle w:val="ListNumber2"/>
        <w:numPr>
          <w:ilvl w:val="1"/>
          <w:numId w:val="15"/>
        </w:numPr>
        <w:ind w:left="284" w:hanging="284"/>
      </w:pPr>
      <w:r w:rsidRPr="006E1561">
        <w:t xml:space="preserve">where a curfew of more than 12 hours will be undertaken at the registered establishment prior to transport to the port of embarkation, a curfew factor of an additional 5% must be applied when calculating liveweight (cumulative with other </w:t>
      </w:r>
      <w:r w:rsidRPr="006E1561">
        <w:t>additional space requirements and must be calculated first); and</w:t>
      </w:r>
    </w:p>
    <w:p w:rsidR="000D35BF" w:rsidRPr="006E1561" w:rsidP="006E1561">
      <w:pPr>
        <w:pStyle w:val="ListNumber2"/>
      </w:pPr>
      <w:r w:rsidRPr="006E1561">
        <w:t>the weight of each animal in a pen must not vary from pen average weight by more than 50kg. The pen average weight is calculated by dividing the total weight of the cattle in the pen by the number of cattle in the pen; and</w:t>
      </w:r>
    </w:p>
    <w:p w:rsidR="000D35BF" w:rsidRPr="006E1561" w:rsidP="006E1561">
      <w:pPr>
        <w:pStyle w:val="ListNumber2"/>
      </w:pPr>
      <w:r w:rsidRPr="006E1561">
        <w:t>for pregnant cattle, a minimum additional 15% space must be provided; and</w:t>
      </w:r>
    </w:p>
    <w:p w:rsidR="000D35BF" w:rsidRPr="006E1561" w:rsidP="006E1561">
      <w:pPr>
        <w:pStyle w:val="ListNumber2"/>
      </w:pPr>
      <w:r w:rsidRPr="006E1561">
        <w:t>cattle without horns may be penned with cattle with:</w:t>
      </w:r>
    </w:p>
    <w:p w:rsidR="000D35BF" w:rsidRPr="009C2DDE" w:rsidP="000D35BF">
      <w:pPr>
        <w:pStyle w:val="ListNumber3"/>
        <w:spacing w:line="276" w:lineRule="auto"/>
        <w:ind w:left="850" w:hanging="425"/>
        <w:rPr>
          <w:szCs w:val="22"/>
        </w:rPr>
      </w:pPr>
      <w:r w:rsidRPr="009C2DDE">
        <w:rPr>
          <w:szCs w:val="22"/>
        </w:rPr>
        <w:t>horns up to 12cm in length and where the horns are tipped (blunt); and / or</w:t>
      </w:r>
    </w:p>
    <w:p w:rsidR="00487B0E" w:rsidRPr="009C2DDE" w:rsidP="000D35BF">
      <w:pPr>
        <w:pStyle w:val="ListNumber3"/>
        <w:spacing w:line="276" w:lineRule="auto"/>
        <w:ind w:left="850" w:hanging="425"/>
        <w:rPr>
          <w:szCs w:val="22"/>
        </w:rPr>
      </w:pPr>
      <w:r w:rsidRPr="009C2DDE">
        <w:rPr>
          <w:szCs w:val="22"/>
        </w:rPr>
        <w:t>horns longer than 12cm in length and are pointing downwards parallel to the face and where the horns are tipped (blunt); and</w:t>
      </w:r>
    </w:p>
    <w:p w:rsidR="000D35BF" w:rsidRPr="009C2DDE" w:rsidP="00BA1C68">
      <w:pPr>
        <w:pStyle w:val="ListNumber2"/>
      </w:pPr>
      <w:r w:rsidRPr="009C2DDE">
        <w:t xml:space="preserve">cattle outside of the weights shown in Table 9, Table 10a, Table 10b, Table 11a, Table 11b, Table 12a and Table 12b must only be sourced for export or exported in accordance with a </w:t>
      </w:r>
      <w:r w:rsidRPr="00487B0E">
        <w:rPr>
          <w:i/>
          <w:iCs/>
        </w:rPr>
        <w:t>light</w:t>
      </w:r>
      <w:r w:rsidRPr="009C2DDE">
        <w:t xml:space="preserve"> or </w:t>
      </w:r>
      <w:r w:rsidRPr="00487B0E">
        <w:rPr>
          <w:i/>
          <w:iCs/>
        </w:rPr>
        <w:t>heavy cattle management plan</w:t>
      </w:r>
      <w:r w:rsidRPr="009C2DDE">
        <w:t xml:space="preserve"> where an exporter has approval under Standard 1.4.2.</w:t>
      </w:r>
    </w:p>
    <w:p w:rsidR="0024550C" w:rsidP="001C3F20">
      <w:pPr>
        <w:pStyle w:val="Heading2"/>
      </w:pPr>
      <w:r w:rsidRPr="00F4474C">
        <w:t>Penning requirements for horned sheep</w:t>
      </w:r>
    </w:p>
    <w:p w:rsidR="0003639E" w:rsidP="00BA1C68">
      <w:pPr>
        <w:pStyle w:val="BoxHeading"/>
      </w:pPr>
      <w:r>
        <w:t>Summary of feedback:</w:t>
      </w:r>
    </w:p>
    <w:p w:rsidR="0003639E" w:rsidP="00BA1C68">
      <w:pPr>
        <w:pStyle w:val="BoxText"/>
      </w:pPr>
      <w:r>
        <w:t>Animal welfare organisations agreed with inclusion of</w:t>
      </w:r>
      <w:r w:rsidRPr="001C22F5">
        <w:t xml:space="preserve"> ‘</w:t>
      </w:r>
      <w:r w:rsidRPr="009B086A">
        <w:rPr>
          <w:i/>
          <w:iCs/>
        </w:rPr>
        <w:t>during the export process’</w:t>
      </w:r>
      <w:r w:rsidRPr="001C22F5">
        <w:t xml:space="preserve"> in </w:t>
      </w:r>
      <w:r>
        <w:t>sheep horn standard</w:t>
      </w:r>
      <w:r w:rsidRPr="001C22F5">
        <w:t xml:space="preserve"> </w:t>
      </w:r>
      <w:r>
        <w:t>however some industry</w:t>
      </w:r>
      <w:r w:rsidRPr="001C22F5">
        <w:t xml:space="preserve"> </w:t>
      </w:r>
      <w:r>
        <w:t xml:space="preserve">bodies </w:t>
      </w:r>
      <w:r w:rsidRPr="001C22F5">
        <w:t>stat</w:t>
      </w:r>
      <w:r>
        <w:t>ed</w:t>
      </w:r>
      <w:r w:rsidRPr="001C22F5">
        <w:t xml:space="preserve"> th</w:t>
      </w:r>
      <w:r>
        <w:t>e wording was unclear and</w:t>
      </w:r>
      <w:r w:rsidRPr="001C22F5">
        <w:t xml:space="preserve"> too broad</w:t>
      </w:r>
      <w:r>
        <w:t>.</w:t>
      </w:r>
    </w:p>
    <w:p w:rsidR="0003639E" w:rsidP="00BA1C68">
      <w:pPr>
        <w:pStyle w:val="BoxText"/>
      </w:pPr>
      <w:r>
        <w:t>Some a</w:t>
      </w:r>
      <w:r w:rsidRPr="001C22F5">
        <w:t xml:space="preserve">nimal welfare organisations </w:t>
      </w:r>
      <w:r>
        <w:t>suggested to reduce the horn leng</w:t>
      </w:r>
      <w:r w:rsidRPr="001C22F5">
        <w:t>th limit for sheep to half a curl</w:t>
      </w:r>
      <w:r>
        <w:t xml:space="preserve"> however did not provide any </w:t>
      </w:r>
      <w:r w:rsidRPr="001C22F5">
        <w:t xml:space="preserve">science or evidence </w:t>
      </w:r>
      <w:r>
        <w:t xml:space="preserve">to </w:t>
      </w:r>
      <w:r>
        <w:t>support this suggestion.</w:t>
      </w:r>
    </w:p>
    <w:p w:rsidR="0003639E" w:rsidP="00BA1C68">
      <w:pPr>
        <w:pStyle w:val="BoxText"/>
      </w:pPr>
      <w:r>
        <w:rPr>
          <w:lang w:eastAsia="ja-JP"/>
        </w:rPr>
        <w:t>Other feedback</w:t>
      </w:r>
      <w:r w:rsidRPr="00DF266D">
        <w:rPr>
          <w:lang w:eastAsia="ja-JP"/>
        </w:rPr>
        <w:t xml:space="preserve"> commented that </w:t>
      </w:r>
      <w:r>
        <w:rPr>
          <w:lang w:eastAsia="ja-JP"/>
        </w:rPr>
        <w:t>the</w:t>
      </w:r>
      <w:r w:rsidRPr="00DF266D">
        <w:rPr>
          <w:lang w:eastAsia="ja-JP"/>
        </w:rPr>
        <w:t xml:space="preserve"> </w:t>
      </w:r>
      <w:r>
        <w:rPr>
          <w:lang w:eastAsia="ja-JP"/>
        </w:rPr>
        <w:t>use of the word ‘</w:t>
      </w:r>
      <w:r w:rsidRPr="00CF3236">
        <w:rPr>
          <w:i/>
          <w:iCs/>
          <w:lang w:eastAsia="ja-JP"/>
        </w:rPr>
        <w:t>endanger</w:t>
      </w:r>
      <w:r>
        <w:rPr>
          <w:lang w:eastAsia="ja-JP"/>
        </w:rPr>
        <w:t>’ in standard 1.7.7b (‘</w:t>
      </w:r>
      <w:r w:rsidRPr="00DF266D">
        <w:rPr>
          <w:i/>
          <w:iCs/>
          <w:lang w:eastAsia="ja-JP"/>
        </w:rPr>
        <w:t>horns that would</w:t>
      </w:r>
      <w:r>
        <w:rPr>
          <w:i/>
          <w:iCs/>
          <w:lang w:eastAsia="ja-JP"/>
        </w:rPr>
        <w:t xml:space="preserve"> not</w:t>
      </w:r>
      <w:r w:rsidRPr="00DF266D">
        <w:rPr>
          <w:i/>
          <w:iCs/>
          <w:lang w:eastAsia="ja-JP"/>
        </w:rPr>
        <w:t xml:space="preserve"> endanger </w:t>
      </w:r>
      <w:r>
        <w:rPr>
          <w:i/>
          <w:iCs/>
          <w:lang w:eastAsia="ja-JP"/>
        </w:rPr>
        <w:t xml:space="preserve">the animal or </w:t>
      </w:r>
      <w:r w:rsidRPr="00DF266D">
        <w:rPr>
          <w:i/>
          <w:iCs/>
          <w:lang w:eastAsia="ja-JP"/>
        </w:rPr>
        <w:t>other animals’</w:t>
      </w:r>
      <w:r>
        <w:rPr>
          <w:lang w:eastAsia="ja-JP"/>
        </w:rPr>
        <w:t>) was too</w:t>
      </w:r>
      <w:r w:rsidRPr="00DF266D">
        <w:rPr>
          <w:lang w:eastAsia="ja-JP"/>
        </w:rPr>
        <w:t xml:space="preserve"> vague, subjective, difficult to enforce, </w:t>
      </w:r>
      <w:r>
        <w:rPr>
          <w:lang w:eastAsia="ja-JP"/>
        </w:rPr>
        <w:t xml:space="preserve">and could </w:t>
      </w:r>
      <w:r w:rsidRPr="00DF266D">
        <w:rPr>
          <w:lang w:eastAsia="ja-JP"/>
        </w:rPr>
        <w:t xml:space="preserve">lead to </w:t>
      </w:r>
      <w:r>
        <w:rPr>
          <w:lang w:eastAsia="ja-JP"/>
        </w:rPr>
        <w:t>inconsistencies</w:t>
      </w:r>
      <w:r w:rsidRPr="00DF266D">
        <w:rPr>
          <w:lang w:eastAsia="ja-JP"/>
        </w:rPr>
        <w:t xml:space="preserve"> in interpretation</w:t>
      </w:r>
      <w:r>
        <w:rPr>
          <w:lang w:eastAsia="ja-JP"/>
        </w:rPr>
        <w:t>. Some also called for greater consistency in the use of the words ‘</w:t>
      </w:r>
      <w:r w:rsidRPr="00CF3236">
        <w:rPr>
          <w:i/>
          <w:iCs/>
          <w:lang w:eastAsia="ja-JP"/>
        </w:rPr>
        <w:t>would’</w:t>
      </w:r>
      <w:r>
        <w:rPr>
          <w:lang w:eastAsia="ja-JP"/>
        </w:rPr>
        <w:t xml:space="preserve"> and ‘</w:t>
      </w:r>
      <w:r w:rsidRPr="00CF3236">
        <w:rPr>
          <w:i/>
          <w:iCs/>
          <w:lang w:eastAsia="ja-JP"/>
        </w:rPr>
        <w:t>could’</w:t>
      </w:r>
      <w:r>
        <w:rPr>
          <w:lang w:eastAsia="ja-JP"/>
        </w:rPr>
        <w:t>.</w:t>
      </w:r>
    </w:p>
    <w:p w:rsidR="0003639E" w:rsidP="00BA1C68">
      <w:pPr>
        <w:pStyle w:val="BoxHeading"/>
      </w:pPr>
      <w:r>
        <w:t>Department response</w:t>
      </w:r>
      <w:r w:rsidRPr="00145609">
        <w:t>:</w:t>
      </w:r>
    </w:p>
    <w:p w:rsidR="0003639E" w:rsidP="00BA1C68">
      <w:pPr>
        <w:pStyle w:val="BoxText"/>
      </w:pPr>
      <w:r>
        <w:t>The proposed amendments have been finalised with changes.</w:t>
      </w:r>
    </w:p>
    <w:p w:rsidR="0003639E" w:rsidP="00BA1C68">
      <w:pPr>
        <w:pStyle w:val="BoxText"/>
      </w:pPr>
      <w:r>
        <w:t>The terms</w:t>
      </w:r>
      <w:r w:rsidRPr="00865A23">
        <w:t xml:space="preserve"> ‘</w:t>
      </w:r>
      <w:r w:rsidRPr="003558FC">
        <w:rPr>
          <w:i/>
          <w:iCs/>
        </w:rPr>
        <w:t>during the export process’</w:t>
      </w:r>
      <w:r w:rsidRPr="00865A23">
        <w:t xml:space="preserve"> </w:t>
      </w:r>
      <w:r>
        <w:t>and ‘</w:t>
      </w:r>
      <w:r w:rsidRPr="003558FC">
        <w:rPr>
          <w:i/>
          <w:iCs/>
        </w:rPr>
        <w:t>export process’</w:t>
      </w:r>
      <w:r>
        <w:t xml:space="preserve"> are </w:t>
      </w:r>
      <w:r w:rsidRPr="00865A23">
        <w:t>not defined in ASEL</w:t>
      </w:r>
      <w:r>
        <w:t xml:space="preserve">. </w:t>
      </w:r>
      <w:r w:rsidRPr="00865A23">
        <w:t xml:space="preserve">The department acknowledges that without </w:t>
      </w:r>
      <w:r>
        <w:t xml:space="preserve">a </w:t>
      </w:r>
      <w:r w:rsidRPr="00865A23">
        <w:t>definition, the addition of ‘</w:t>
      </w:r>
      <w:r w:rsidRPr="003558FC">
        <w:rPr>
          <w:i/>
          <w:iCs/>
        </w:rPr>
        <w:t>during the export process’</w:t>
      </w:r>
      <w:r w:rsidRPr="00865A23">
        <w:t xml:space="preserve"> is very broad</w:t>
      </w:r>
      <w:r>
        <w:t xml:space="preserve">, vague and may result in inconsistencies in interpretation. In response, the department will </w:t>
      </w:r>
      <w:r w:rsidRPr="00F4474C">
        <w:t xml:space="preserve">revert to </w:t>
      </w:r>
      <w:r>
        <w:t xml:space="preserve">the wording </w:t>
      </w:r>
      <w:r w:rsidRPr="00F4474C">
        <w:t>‘</w:t>
      </w:r>
      <w:r w:rsidRPr="00F4474C">
        <w:rPr>
          <w:i/>
          <w:iCs/>
        </w:rPr>
        <w:t>during transport’</w:t>
      </w:r>
      <w:r>
        <w:t xml:space="preserve"> and a definition of ‘</w:t>
      </w:r>
      <w:r w:rsidRPr="001C3F20">
        <w:rPr>
          <w:i/>
          <w:iCs/>
        </w:rPr>
        <w:t>export process</w:t>
      </w:r>
      <w:r>
        <w:t>’ will be given further consideration after the 2023 ASEL update</w:t>
      </w:r>
      <w:r w:rsidRPr="00F4474C">
        <w:t xml:space="preserve">. </w:t>
      </w:r>
      <w:r>
        <w:t>Also, t</w:t>
      </w:r>
      <w:r w:rsidRPr="00CF3236">
        <w:t xml:space="preserve">o </w:t>
      </w:r>
      <w:r>
        <w:t xml:space="preserve">improve clarity and consistency, and to </w:t>
      </w:r>
      <w:r w:rsidRPr="00CF3236">
        <w:t>align with the changes to</w:t>
      </w:r>
      <w:r>
        <w:t xml:space="preserve"> the</w:t>
      </w:r>
      <w:r w:rsidRPr="00CF3236">
        <w:t xml:space="preserve"> Rejection </w:t>
      </w:r>
      <w:r w:rsidRPr="00CF3236">
        <w:t xml:space="preserve">Criteria tables, </w:t>
      </w:r>
      <w:r>
        <w:t xml:space="preserve">in standard 1.7.7 </w:t>
      </w:r>
      <w:r w:rsidRPr="00CF3236">
        <w:t xml:space="preserve">the </w:t>
      </w:r>
      <w:r>
        <w:t>word ‘</w:t>
      </w:r>
      <w:r w:rsidRPr="006258C3">
        <w:rPr>
          <w:i/>
          <w:iCs/>
        </w:rPr>
        <w:t>endanger</w:t>
      </w:r>
      <w:r>
        <w:t>’ has been changed to ‘</w:t>
      </w:r>
      <w:r w:rsidRPr="006258C3">
        <w:rPr>
          <w:i/>
          <w:iCs/>
        </w:rPr>
        <w:t>injure</w:t>
      </w:r>
      <w:r>
        <w:t>’ and the word ‘</w:t>
      </w:r>
      <w:r w:rsidRPr="009D006F">
        <w:rPr>
          <w:i/>
          <w:iCs/>
        </w:rPr>
        <w:t>would</w:t>
      </w:r>
      <w:r>
        <w:t>’ has been changed to ‘</w:t>
      </w:r>
      <w:r w:rsidRPr="009D006F">
        <w:rPr>
          <w:i/>
          <w:iCs/>
        </w:rPr>
        <w:t>could</w:t>
      </w:r>
      <w:r>
        <w:t>’.</w:t>
      </w:r>
    </w:p>
    <w:p w:rsidR="0003639E" w:rsidRPr="00455013" w:rsidP="00BA1C68">
      <w:pPr>
        <w:pStyle w:val="BoxText"/>
      </w:pPr>
      <w:r>
        <w:t xml:space="preserve">The changes to standard 5.5.1 inserts the word ‘full’ (curl) to provide consistency with the current sourcing requirements outlined in standard 1.7.7. The changes also align with </w:t>
      </w:r>
      <w:r>
        <w:t>recommendation 33 of the Technical Advisory Committee (TAC) which advises that any horned sheep (not only rams) with horns longer than one full curl require 10% additional pen space.</w:t>
      </w:r>
    </w:p>
    <w:p w:rsidR="0024550C" w:rsidRPr="005F7E06" w:rsidP="001C3F20">
      <w:pPr>
        <w:pStyle w:val="Heading3"/>
        <w:numPr>
          <w:ilvl w:val="0"/>
          <w:numId w:val="0"/>
        </w:numPr>
        <w:rPr>
          <w:sz w:val="28"/>
          <w:szCs w:val="28"/>
        </w:rPr>
      </w:pPr>
      <w:r w:rsidRPr="005F7E06">
        <w:t>Amended standard</w:t>
      </w:r>
      <w:r>
        <w:t>s</w:t>
      </w:r>
      <w:r w:rsidRPr="005F7E06">
        <w:t xml:space="preserve"> for ASEL 3.3</w:t>
      </w:r>
    </w:p>
    <w:p w:rsidR="000D35BF" w:rsidRPr="001C3F20" w:rsidP="001C3F20">
      <w:pPr>
        <w:rPr>
          <w:b/>
          <w:bCs/>
          <w:i/>
          <w:iCs/>
        </w:rPr>
      </w:pPr>
      <w:r w:rsidRPr="00786AE7">
        <w:rPr>
          <w:i/>
          <w:iCs/>
        </w:rPr>
        <w:t>(</w:t>
      </w:r>
      <w:r w:rsidRPr="001C3F20">
        <w:rPr>
          <w:i/>
          <w:iCs/>
        </w:rPr>
        <w:t>These versions of Standards 1.7.7 and 5.5.1 come into force on 30 November 2023</w:t>
      </w:r>
      <w:r w:rsidRPr="001C3F20" w:rsidR="00F4474C">
        <w:rPr>
          <w:i/>
          <w:iCs/>
        </w:rPr>
        <w:t>)</w:t>
      </w:r>
    </w:p>
    <w:p w:rsidR="000D35BF" w:rsidRPr="009C2DDE" w:rsidP="006E1561">
      <w:pPr>
        <w:pStyle w:val="ListParagraph"/>
        <w:numPr>
          <w:ilvl w:val="2"/>
          <w:numId w:val="46"/>
        </w:numPr>
      </w:pPr>
      <w:r w:rsidRPr="009C2DDE">
        <w:t>Sheep with horns must not be sourced for export or exported if the horns:</w:t>
      </w:r>
    </w:p>
    <w:p w:rsidR="006E1561" w:rsidP="006E1561">
      <w:pPr>
        <w:pStyle w:val="ListNumber2"/>
        <w:numPr>
          <w:ilvl w:val="1"/>
          <w:numId w:val="45"/>
        </w:numPr>
        <w:ind w:left="284" w:hanging="284"/>
      </w:pPr>
      <w:r w:rsidRPr="006E1561">
        <w:t>could cause damage to the head or eyes of the animal or other animals during transport; and</w:t>
      </w:r>
    </w:p>
    <w:p w:rsidR="006E1561" w:rsidP="006E1561">
      <w:pPr>
        <w:pStyle w:val="ListNumber2"/>
        <w:numPr>
          <w:ilvl w:val="1"/>
          <w:numId w:val="45"/>
        </w:numPr>
        <w:ind w:left="284" w:hanging="284"/>
      </w:pPr>
      <w:r w:rsidRPr="006E1561">
        <w:t xml:space="preserve">could injure the animal or other animals </w:t>
      </w:r>
      <w:r w:rsidRPr="006E1561">
        <w:t>during transport; and</w:t>
      </w:r>
    </w:p>
    <w:p w:rsidR="006E1561" w:rsidP="006E1561">
      <w:pPr>
        <w:pStyle w:val="ListNumber2"/>
        <w:numPr>
          <w:ilvl w:val="1"/>
          <w:numId w:val="45"/>
        </w:numPr>
        <w:ind w:left="284" w:hanging="284"/>
      </w:pPr>
      <w:r w:rsidRPr="006E1561">
        <w:t>could restrict access to feed or water during transport; and</w:t>
      </w:r>
    </w:p>
    <w:p w:rsidR="000D35BF" w:rsidRPr="006E1561" w:rsidP="006E1561">
      <w:pPr>
        <w:pStyle w:val="ListNumber2"/>
        <w:numPr>
          <w:ilvl w:val="1"/>
          <w:numId w:val="45"/>
        </w:numPr>
        <w:ind w:left="284" w:hanging="284"/>
      </w:pPr>
      <w:r w:rsidRPr="006E1561">
        <w:t xml:space="preserve">are more than 1 full curl, unless otherwise provided for in a long–horned livestock management plan approved in writing by the </w:t>
      </w:r>
      <w:r w:rsidRPr="006E1561" w:rsidR="002B7AFB">
        <w:t>department</w:t>
      </w:r>
      <w:r w:rsidRPr="006E1561" w:rsidR="00642545">
        <w:t>,</w:t>
      </w:r>
      <w:r w:rsidRPr="006E1561" w:rsidR="002B7AFB">
        <w:t xml:space="preserve"> or</w:t>
      </w:r>
      <w:r w:rsidRPr="006E1561">
        <w:t xml:space="preserve"> show signs consistent with the rejection criteria specified in Table 1.</w:t>
      </w:r>
    </w:p>
    <w:p w:rsidR="000D35BF" w:rsidRPr="009C2DDE" w:rsidP="000D35BF">
      <w:r w:rsidRPr="009C2DDE">
        <w:rPr>
          <w:b/>
          <w:bCs/>
        </w:rPr>
        <w:t>5.5.1</w:t>
      </w:r>
      <w:r w:rsidRPr="009C2DDE">
        <w:t xml:space="preserve"> The minimum pen space allocation for sheep is contained in Table 19. These penning criteria also apply:</w:t>
      </w:r>
    </w:p>
    <w:p w:rsidR="000D35BF" w:rsidRPr="006E1561" w:rsidP="006E1561">
      <w:pPr>
        <w:pStyle w:val="ListNumber2"/>
        <w:numPr>
          <w:ilvl w:val="1"/>
          <w:numId w:val="47"/>
        </w:numPr>
        <w:ind w:left="284" w:hanging="284"/>
      </w:pPr>
      <w:r w:rsidRPr="006E1561">
        <w:t>where a curfew of more than 12 hours will be undertaken at the registered establishment prior to transport to the port of embarkation, a curfew factor of an additional 5% must be applied when calculating liveweight (cumulative with other additional space requirements and must be calculated first); and</w:t>
      </w:r>
    </w:p>
    <w:p w:rsidR="000D35BF" w:rsidRPr="006E1561" w:rsidP="006E1561">
      <w:pPr>
        <w:pStyle w:val="ListNumber2"/>
      </w:pPr>
      <w:r w:rsidRPr="006E1561">
        <w:t>for weights between those shown in Table 19 the minimum pen area per head must be calculated by linear interpolation; and</w:t>
      </w:r>
    </w:p>
    <w:p w:rsidR="006E1561" w:rsidP="006E1561">
      <w:pPr>
        <w:pStyle w:val="ListNumber2"/>
      </w:pPr>
      <w:r w:rsidRPr="006E1561">
        <w:t>[deleted]</w:t>
      </w:r>
    </w:p>
    <w:p w:rsidR="006E1561" w:rsidP="006E1561">
      <w:pPr>
        <w:pStyle w:val="ListNumber2"/>
      </w:pPr>
      <w:r w:rsidRPr="006E1561">
        <w:t>sheep without horns may be mixed with sheep with horns up to 1 full curl in length; and</w:t>
      </w:r>
    </w:p>
    <w:p w:rsidR="000D35BF" w:rsidRPr="006E1561" w:rsidP="006E1561">
      <w:pPr>
        <w:pStyle w:val="ListNumber2"/>
      </w:pPr>
      <w:r w:rsidRPr="006E1561">
        <w:t>sheep exported in accordance with a long-horned livestock management plan approved in writing by the department under Standard 1.7.7 d) must be allocated an additional 10% space.</w:t>
      </w:r>
    </w:p>
    <w:p w:rsidR="0024550C" w:rsidP="001C3F20">
      <w:pPr>
        <w:pStyle w:val="Heading2"/>
      </w:pPr>
      <w:r w:rsidRPr="00F4474C">
        <w:t>Clarifying livestock identification requirements in laboratory test reports – Sea and Air</w:t>
      </w:r>
    </w:p>
    <w:p w:rsidR="0003639E" w:rsidP="00BA1C68">
      <w:pPr>
        <w:pStyle w:val="BoxHeading"/>
      </w:pPr>
      <w:r>
        <w:t>Summary of feedback</w:t>
      </w:r>
      <w:r w:rsidRPr="00145609">
        <w:t>:</w:t>
      </w:r>
    </w:p>
    <w:p w:rsidR="0003639E" w:rsidP="00BA1C68">
      <w:pPr>
        <w:pStyle w:val="BoxText"/>
        <w:rPr>
          <w:rFonts w:cstheme="minorHAnsi"/>
        </w:rPr>
      </w:pPr>
      <w:r>
        <w:t>Most feedback supported the proposed</w:t>
      </w:r>
      <w:r>
        <w:rPr>
          <w:rFonts w:cstheme="minorHAnsi"/>
        </w:rPr>
        <w:t xml:space="preserve"> amendments.</w:t>
      </w:r>
    </w:p>
    <w:p w:rsidR="0003639E" w:rsidRPr="007144F5" w:rsidP="00BA1C68">
      <w:pPr>
        <w:pStyle w:val="BoxText"/>
        <w:rPr>
          <w:rFonts w:cstheme="minorHAnsi"/>
        </w:rPr>
      </w:pPr>
      <w:r>
        <w:rPr>
          <w:rFonts w:cstheme="minorHAnsi"/>
        </w:rPr>
        <w:t>Feedback</w:t>
      </w:r>
      <w:r w:rsidRPr="002B7C9B">
        <w:rPr>
          <w:rFonts w:cstheme="minorHAnsi"/>
        </w:rPr>
        <w:t xml:space="preserve"> identified that exporters would need to provide very clear animal identification data </w:t>
      </w:r>
      <w:r>
        <w:rPr>
          <w:rFonts w:cstheme="minorHAnsi"/>
        </w:rPr>
        <w:t>for</w:t>
      </w:r>
      <w:r w:rsidRPr="002B7C9B">
        <w:rPr>
          <w:rFonts w:cstheme="minorHAnsi"/>
        </w:rPr>
        <w:t xml:space="preserve"> samples </w:t>
      </w:r>
      <w:r>
        <w:rPr>
          <w:rFonts w:cstheme="minorHAnsi"/>
        </w:rPr>
        <w:t xml:space="preserve">sent to a </w:t>
      </w:r>
      <w:r w:rsidRPr="002B7C9B">
        <w:rPr>
          <w:rFonts w:cstheme="minorHAnsi"/>
        </w:rPr>
        <w:t xml:space="preserve">laboratory for testing. </w:t>
      </w:r>
      <w:r w:rsidRPr="007144F5">
        <w:rPr>
          <w:rFonts w:cstheme="minorHAnsi"/>
        </w:rPr>
        <w:t>Laboratories offered varying accounts of how they would meet new requirements</w:t>
      </w:r>
      <w:r>
        <w:rPr>
          <w:rFonts w:cstheme="minorHAnsi"/>
        </w:rPr>
        <w:t>. One laboratory stated that significant lead-in time would be required to meet the new requirements, with another stating they had already started to implement the changes.</w:t>
      </w:r>
    </w:p>
    <w:p w:rsidR="0003639E" w:rsidP="00BA1C68">
      <w:pPr>
        <w:pStyle w:val="BoxText"/>
        <w:rPr>
          <w:b/>
          <w:bCs/>
        </w:rPr>
      </w:pPr>
      <w:r>
        <w:rPr>
          <w:rFonts w:cstheme="minorHAnsi"/>
        </w:rPr>
        <w:t xml:space="preserve">One industry body did not agree </w:t>
      </w:r>
      <w:r w:rsidRPr="002B7C9B">
        <w:rPr>
          <w:rFonts w:cstheme="minorHAnsi"/>
        </w:rPr>
        <w:t xml:space="preserve">with the proposed </w:t>
      </w:r>
      <w:r>
        <w:rPr>
          <w:rFonts w:cstheme="minorHAnsi"/>
        </w:rPr>
        <w:t>amendment</w:t>
      </w:r>
      <w:r w:rsidRPr="002B7C9B">
        <w:rPr>
          <w:rFonts w:cstheme="minorHAnsi"/>
        </w:rPr>
        <w:t xml:space="preserve"> stating </w:t>
      </w:r>
      <w:r>
        <w:rPr>
          <w:rFonts w:cstheme="minorHAnsi"/>
        </w:rPr>
        <w:t xml:space="preserve">that </w:t>
      </w:r>
      <w:r w:rsidRPr="002B7C9B">
        <w:rPr>
          <w:rFonts w:cstheme="minorHAnsi"/>
        </w:rPr>
        <w:t xml:space="preserve">the current processes worked well. </w:t>
      </w:r>
      <w:r>
        <w:rPr>
          <w:rFonts w:cstheme="minorHAnsi"/>
        </w:rPr>
        <w:t xml:space="preserve">They queried </w:t>
      </w:r>
      <w:r w:rsidRPr="002B7C9B">
        <w:rPr>
          <w:rFonts w:cstheme="minorHAnsi"/>
        </w:rPr>
        <w:t>whether the reduced administrative burden on the department</w:t>
      </w:r>
      <w:r>
        <w:rPr>
          <w:rFonts w:cstheme="minorHAnsi"/>
        </w:rPr>
        <w:t xml:space="preserve"> following the </w:t>
      </w:r>
      <w:r w:rsidRPr="002B7C9B">
        <w:rPr>
          <w:rFonts w:cstheme="minorHAnsi"/>
        </w:rPr>
        <w:t>change would translate to lower fees to the exporter</w:t>
      </w:r>
      <w:r>
        <w:rPr>
          <w:rFonts w:cstheme="minorHAnsi"/>
        </w:rPr>
        <w:t>.</w:t>
      </w:r>
    </w:p>
    <w:p w:rsidR="0003639E" w:rsidP="00BA1C68">
      <w:pPr>
        <w:pStyle w:val="BoxHeading"/>
      </w:pPr>
      <w:r>
        <w:t>Department response:</w:t>
      </w:r>
    </w:p>
    <w:p w:rsidR="0003639E" w:rsidP="00BA1C68">
      <w:pPr>
        <w:pStyle w:val="BoxText"/>
      </w:pPr>
      <w:r>
        <w:t>The proposed amendments have been finalised with changes.</w:t>
      </w:r>
    </w:p>
    <w:p w:rsidR="0003639E" w:rsidRPr="00D62382" w:rsidP="00BA1C68">
      <w:pPr>
        <w:pStyle w:val="BoxText"/>
      </w:pPr>
      <w:r w:rsidRPr="008A12D9">
        <w:t>The words ‘</w:t>
      </w:r>
      <w:r w:rsidRPr="00BC6734">
        <w:rPr>
          <w:i/>
          <w:iCs/>
        </w:rPr>
        <w:t>results of tests undertaken’</w:t>
      </w:r>
      <w:r>
        <w:t xml:space="preserve"> have been added to the standards to further clarify requirements. The department a</w:t>
      </w:r>
      <w:r w:rsidRPr="00D62382">
        <w:t>cknowledg</w:t>
      </w:r>
      <w:r>
        <w:t>es</w:t>
      </w:r>
      <w:r w:rsidRPr="00D62382">
        <w:t xml:space="preserve"> that a </w:t>
      </w:r>
      <w:r>
        <w:t xml:space="preserve">single </w:t>
      </w:r>
      <w:r w:rsidRPr="00D62382">
        <w:t xml:space="preserve">laboratory report </w:t>
      </w:r>
      <w:r>
        <w:t xml:space="preserve">may include several documents in different formats, so have replaced the word </w:t>
      </w:r>
      <w:r w:rsidRPr="00C026D6">
        <w:rPr>
          <w:i/>
          <w:iCs/>
        </w:rPr>
        <w:t>‘document’</w:t>
      </w:r>
      <w:r>
        <w:t xml:space="preserve"> with the word ‘</w:t>
      </w:r>
      <w:r w:rsidRPr="00C026D6">
        <w:rPr>
          <w:i/>
          <w:iCs/>
        </w:rPr>
        <w:t>report’</w:t>
      </w:r>
      <w:r>
        <w:rPr>
          <w:i/>
          <w:iCs/>
        </w:rPr>
        <w:t>.</w:t>
      </w:r>
    </w:p>
    <w:p w:rsidR="0003639E" w:rsidP="00BA1C68">
      <w:pPr>
        <w:pStyle w:val="BoxText"/>
      </w:pPr>
      <w:r>
        <w:t>The changes address the risk of misinterpretation of laboratory test reports, provide clearer instructions and requirements for identifying livestock in laboratory test reports and improve identification of animals that are ineligible for export, facilitating their removal.</w:t>
      </w:r>
    </w:p>
    <w:p w:rsidR="0003639E" w:rsidRPr="00455013" w:rsidP="00BA1C68">
      <w:pPr>
        <w:pStyle w:val="BoxText"/>
      </w:pPr>
      <w:r w:rsidRPr="007144F5">
        <w:t xml:space="preserve">Further engagement with laboratories regarding implementation lead-in time </w:t>
      </w:r>
      <w:r>
        <w:t>was</w:t>
      </w:r>
      <w:r w:rsidRPr="007144F5">
        <w:t xml:space="preserve"> undertaken by </w:t>
      </w:r>
      <w:r>
        <w:t>the department as</w:t>
      </w:r>
      <w:r w:rsidRPr="007144F5">
        <w:t xml:space="preserve"> part of implementation policy consultation and development.</w:t>
      </w:r>
    </w:p>
    <w:p w:rsidR="0024550C" w:rsidRPr="0024550C" w:rsidP="001C3F20">
      <w:pPr>
        <w:pStyle w:val="Heading3"/>
        <w:numPr>
          <w:ilvl w:val="0"/>
          <w:numId w:val="0"/>
        </w:numPr>
      </w:pPr>
      <w:r w:rsidRPr="008A12D9">
        <w:rPr>
          <w:rFonts w:eastAsiaTheme="minorEastAsia"/>
          <w:lang w:eastAsia="ja-JP"/>
        </w:rPr>
        <w:t xml:space="preserve">Amended standards </w:t>
      </w:r>
      <w:r>
        <w:rPr>
          <w:rFonts w:eastAsiaTheme="minorEastAsia"/>
          <w:lang w:eastAsia="ja-JP"/>
        </w:rPr>
        <w:t>for ASEL 3.3</w:t>
      </w:r>
    </w:p>
    <w:p w:rsidR="000D35BF" w:rsidRPr="001C3F20" w:rsidP="001C3F20">
      <w:pPr>
        <w:rPr>
          <w:b/>
          <w:bCs/>
          <w:i/>
          <w:iCs/>
        </w:rPr>
      </w:pPr>
      <w:r w:rsidRPr="00786AE7">
        <w:rPr>
          <w:i/>
          <w:iCs/>
        </w:rPr>
        <w:t>(</w:t>
      </w:r>
      <w:r w:rsidRPr="001C3F20">
        <w:rPr>
          <w:i/>
          <w:iCs/>
        </w:rPr>
        <w:t>These versions of Standard</w:t>
      </w:r>
      <w:r w:rsidR="007C4619">
        <w:rPr>
          <w:i/>
          <w:iCs/>
        </w:rPr>
        <w:t>s</w:t>
      </w:r>
      <w:r w:rsidRPr="001C3F20">
        <w:rPr>
          <w:i/>
          <w:iCs/>
        </w:rPr>
        <w:t xml:space="preserve"> 1.1.3 and 6.1.3 come into force on 3</w:t>
      </w:r>
      <w:r w:rsidR="007C4619">
        <w:rPr>
          <w:i/>
          <w:iCs/>
        </w:rPr>
        <w:t xml:space="preserve"> April 2024</w:t>
      </w:r>
      <w:r w:rsidRPr="001C3F20" w:rsidR="00F4474C">
        <w:rPr>
          <w:i/>
          <w:iCs/>
        </w:rPr>
        <w:t>)</w:t>
      </w:r>
    </w:p>
    <w:p w:rsidR="000D35BF" w:rsidRPr="009C2DDE" w:rsidP="000D35BF">
      <w:r w:rsidRPr="009C2DDE">
        <w:rPr>
          <w:b/>
          <w:bCs/>
        </w:rPr>
        <w:t>1.1.3</w:t>
      </w:r>
      <w:r w:rsidRPr="009C2DDE">
        <w:t xml:space="preserve"> Livestock sourced for export must be:</w:t>
      </w:r>
    </w:p>
    <w:p w:rsidR="000D35BF" w:rsidRPr="009C2DDE" w:rsidP="006E1561">
      <w:pPr>
        <w:pStyle w:val="ListNumber2"/>
        <w:numPr>
          <w:ilvl w:val="1"/>
          <w:numId w:val="48"/>
        </w:numPr>
        <w:ind w:left="284" w:hanging="284"/>
      </w:pPr>
      <w:r w:rsidRPr="009C2DDE">
        <w:t>identified in accordance with state and territory and National Livestock Identification System (NLIS) requirements; and</w:t>
      </w:r>
    </w:p>
    <w:p w:rsidR="000D35BF" w:rsidRPr="009C2DDE" w:rsidP="006E1561">
      <w:pPr>
        <w:pStyle w:val="ListNumber2"/>
      </w:pPr>
      <w:r w:rsidRPr="009C2DDE">
        <w:t>traceable to the property of source; and</w:t>
      </w:r>
    </w:p>
    <w:p w:rsidR="000D35BF" w:rsidRPr="009C2DDE" w:rsidP="006E1561">
      <w:pPr>
        <w:pStyle w:val="ListNumber2"/>
      </w:pPr>
      <w:r w:rsidRPr="009C2DDE">
        <w:t>accompanied by correctly completed and signed movement records such as NVDs/waybills; and</w:t>
      </w:r>
    </w:p>
    <w:p w:rsidR="000D35BF" w:rsidRPr="009C2DDE" w:rsidP="006E1561">
      <w:pPr>
        <w:pStyle w:val="ListNumber2"/>
      </w:pPr>
      <w:r w:rsidRPr="009C2DDE">
        <w:t>individually identified where testing, including pregnancy testing, is required during preparation, excluding feeder/slaughter sheep and goats where the pregnancy testing certification may identify animals to a mob-based level; and</w:t>
      </w:r>
    </w:p>
    <w:p w:rsidR="000D35BF" w:rsidRPr="009C2DDE" w:rsidP="006E1561">
      <w:pPr>
        <w:pStyle w:val="ListNumber2"/>
      </w:pPr>
      <w:r w:rsidRPr="009C2DDE">
        <w:t>accompanied by any test results, including all pregnancy testing and spay declarations where applicable. Laboratory test reports must include the results of the testing undertaken and the below information in a single report:</w:t>
      </w:r>
    </w:p>
    <w:p w:rsidR="00D50055" w:rsidP="0003639E">
      <w:pPr>
        <w:pStyle w:val="ListNumber3"/>
        <w:numPr>
          <w:ilvl w:val="2"/>
          <w:numId w:val="32"/>
        </w:numPr>
      </w:pPr>
      <w:r w:rsidRPr="00047F84">
        <w:t>the NLIS identification number of the animal where individual identification is required by state or territory legislation,</w:t>
      </w:r>
    </w:p>
    <w:p w:rsidR="000D35BF" w:rsidRPr="00D50055" w:rsidP="00D50055">
      <w:pPr>
        <w:pStyle w:val="ListNumber3"/>
      </w:pPr>
      <w:r w:rsidRPr="00D50055">
        <w:t>the PIC where the animal was sampled, and</w:t>
      </w:r>
    </w:p>
    <w:p w:rsidR="000D35BF" w:rsidRPr="009C2DDE" w:rsidP="00D50055">
      <w:pPr>
        <w:pStyle w:val="ListNumber3"/>
      </w:pPr>
      <w:r w:rsidRPr="009C2DDE">
        <w:t>the visual tag number of the animal (if applied).</w:t>
      </w:r>
    </w:p>
    <w:p w:rsidR="000D35BF" w:rsidRPr="009C2DDE" w:rsidP="000D35BF">
      <w:r w:rsidRPr="009C2DDE">
        <w:rPr>
          <w:b/>
          <w:bCs/>
        </w:rPr>
        <w:t>6.1.3</w:t>
      </w:r>
      <w:r w:rsidRPr="009C2DDE">
        <w:t xml:space="preserve"> Livestock sourced for export must be:</w:t>
      </w:r>
    </w:p>
    <w:p w:rsidR="000D35BF" w:rsidRPr="009C2DDE" w:rsidP="006E1561">
      <w:pPr>
        <w:pStyle w:val="ListNumber2"/>
        <w:numPr>
          <w:ilvl w:val="1"/>
          <w:numId w:val="49"/>
        </w:numPr>
        <w:ind w:left="284" w:hanging="284"/>
      </w:pPr>
      <w:r w:rsidRPr="009C2DDE">
        <w:t>identified in accordance with state and territory and National Livestock Identification System (NLIS) requirements; and</w:t>
      </w:r>
    </w:p>
    <w:p w:rsidR="000D35BF" w:rsidRPr="009C2DDE" w:rsidP="006E1561">
      <w:pPr>
        <w:pStyle w:val="ListNumber2"/>
      </w:pPr>
      <w:r w:rsidRPr="009C2DDE">
        <w:t>traceable to the property of source; and</w:t>
      </w:r>
    </w:p>
    <w:p w:rsidR="000D35BF" w:rsidRPr="009C2DDE" w:rsidP="006E1561">
      <w:pPr>
        <w:pStyle w:val="ListNumber2"/>
      </w:pPr>
      <w:r w:rsidRPr="009C2DDE">
        <w:t>accompanied by correctly completed and signed movement records such as NVDs/waybills; and</w:t>
      </w:r>
    </w:p>
    <w:p w:rsidR="000D35BF" w:rsidRPr="009C2DDE" w:rsidP="006E1561">
      <w:pPr>
        <w:pStyle w:val="ListNumber2"/>
      </w:pPr>
      <w:r w:rsidRPr="009C2DDE">
        <w:t>individually identified where testing, including pregnancy testing, is required during preparation, excluding feeder/slaughter sheep and goats where the pregnancy testing certification may identify animals to a mob-based level; and</w:t>
      </w:r>
    </w:p>
    <w:p w:rsidR="000D35BF" w:rsidP="006E1561">
      <w:pPr>
        <w:pStyle w:val="ListNumber2"/>
      </w:pPr>
      <w:r w:rsidRPr="009C2DDE">
        <w:t xml:space="preserve">accompanied by any test results, including all pregnancy testing and spay declarations where applicable. Laboratory test reports must include the </w:t>
      </w:r>
      <w:r w:rsidRPr="00F4474C">
        <w:t>results of testing undertaken and the</w:t>
      </w:r>
      <w:r w:rsidRPr="009C2DDE">
        <w:t xml:space="preserve"> below information in a single report:</w:t>
      </w:r>
    </w:p>
    <w:p w:rsidR="00F4474C" w:rsidRPr="00F4474C" w:rsidP="006E1561">
      <w:pPr>
        <w:pStyle w:val="ListNumber3"/>
      </w:pPr>
      <w:r w:rsidRPr="00F4474C">
        <w:t>the NLIS identification number of the animal where individual identification is required by state or territory legislation,</w:t>
      </w:r>
    </w:p>
    <w:p w:rsidR="00F4474C" w:rsidRPr="00F4474C" w:rsidP="006E1561">
      <w:pPr>
        <w:pStyle w:val="ListNumber3"/>
      </w:pPr>
      <w:r w:rsidRPr="00F4474C">
        <w:t>the PIC where the animal was sampled, and</w:t>
      </w:r>
    </w:p>
    <w:p w:rsidR="00F4474C" w:rsidRPr="009C2DDE" w:rsidP="006E1561">
      <w:pPr>
        <w:pStyle w:val="ListNumber3"/>
      </w:pPr>
      <w:r w:rsidRPr="009C2DDE">
        <w:t>the visual tag number of the animal (if applied).</w:t>
      </w:r>
    </w:p>
    <w:p w:rsidR="008A12D9" w:rsidP="001C3F20">
      <w:pPr>
        <w:pStyle w:val="Heading2"/>
      </w:pPr>
      <w:r w:rsidRPr="00047F84">
        <w:t>Rejection criteria table</w:t>
      </w:r>
      <w:r w:rsidR="00744F5E">
        <w:t>s</w:t>
      </w:r>
      <w:r w:rsidRPr="00047F84">
        <w:t xml:space="preserve"> – Sea and Air</w:t>
      </w:r>
    </w:p>
    <w:p w:rsidR="00356EB8" w:rsidP="00BA1C68">
      <w:pPr>
        <w:pStyle w:val="BoxHeading"/>
      </w:pPr>
      <w:r>
        <w:t xml:space="preserve">Summary of </w:t>
      </w:r>
      <w:r>
        <w:t>feedback:</w:t>
      </w:r>
    </w:p>
    <w:p w:rsidR="00356EB8" w:rsidP="00BA1C68">
      <w:pPr>
        <w:pStyle w:val="BoxText"/>
      </w:pPr>
      <w:r>
        <w:rPr>
          <w:rFonts w:cstheme="minorHAnsi"/>
        </w:rPr>
        <w:t xml:space="preserve">Feedback identified that </w:t>
      </w:r>
      <w:r>
        <w:t>the wording</w:t>
      </w:r>
      <w:r w:rsidRPr="00996185">
        <w:t xml:space="preserve"> ‘</w:t>
      </w:r>
      <w:r w:rsidRPr="00996185">
        <w:rPr>
          <w:i/>
          <w:iCs/>
        </w:rPr>
        <w:t>horns that would endanger the animal or other animals’</w:t>
      </w:r>
      <w:r>
        <w:t xml:space="preserve"> </w:t>
      </w:r>
      <w:r w:rsidRPr="00996185">
        <w:t xml:space="preserve">was too vague, subjective, difficult to enforce, and could lead to inconsistencies in interpretation. </w:t>
      </w:r>
      <w:r>
        <w:t xml:space="preserve">Other feedback stated that </w:t>
      </w:r>
      <w:r w:rsidRPr="00996185">
        <w:t xml:space="preserve">the </w:t>
      </w:r>
      <w:r>
        <w:t>wording</w:t>
      </w:r>
      <w:r w:rsidRPr="00996185">
        <w:t xml:space="preserve"> ‘</w:t>
      </w:r>
      <w:r w:rsidRPr="00996185">
        <w:rPr>
          <w:i/>
          <w:iCs/>
        </w:rPr>
        <w:t>horns longer than appropriate for export’</w:t>
      </w:r>
      <w:r>
        <w:t xml:space="preserve"> did not provide adequate clarity around horn requirements and suggested including horn length limits in the tables.</w:t>
      </w:r>
    </w:p>
    <w:p w:rsidR="00356EB8" w:rsidP="00BA1C68">
      <w:pPr>
        <w:pStyle w:val="BoxText"/>
        <w:rPr>
          <w:lang w:eastAsia="ja-JP"/>
        </w:rPr>
      </w:pPr>
      <w:r>
        <w:t>Some feedback questioned the use of the word ‘</w:t>
      </w:r>
      <w:r w:rsidRPr="001F0CEF">
        <w:rPr>
          <w:i/>
          <w:iCs/>
        </w:rPr>
        <w:t>would</w:t>
      </w:r>
      <w:r>
        <w:t>’ in rejection criteria (for example ‘</w:t>
      </w:r>
      <w:r w:rsidRPr="001F0CEF">
        <w:rPr>
          <w:i/>
          <w:iCs/>
        </w:rPr>
        <w:t>horns that would restrict access to feed or water</w:t>
      </w:r>
      <w:r>
        <w:t>’), suggesting that ‘</w:t>
      </w:r>
      <w:r w:rsidRPr="001F0CEF">
        <w:rPr>
          <w:i/>
          <w:iCs/>
        </w:rPr>
        <w:t>could</w:t>
      </w:r>
      <w:r>
        <w:t>’ is more appropriate.</w:t>
      </w:r>
    </w:p>
    <w:p w:rsidR="00356EB8" w:rsidP="00BA1C68">
      <w:pPr>
        <w:pStyle w:val="BoxText"/>
      </w:pPr>
      <w:r>
        <w:rPr>
          <w:lang w:eastAsia="ja-JP"/>
        </w:rPr>
        <w:t>Concerns were also raised on the appropriateness of including wool and horn lengths in the table as management practices can be implemented after sourcing to meet eligibility criteria (for example, shearing or horn trimming).</w:t>
      </w:r>
    </w:p>
    <w:p w:rsidR="00356EB8" w:rsidP="00BA1C68">
      <w:pPr>
        <w:pStyle w:val="BoxHeading"/>
      </w:pPr>
      <w:r>
        <w:t>Department response</w:t>
      </w:r>
      <w:r w:rsidRPr="00145609">
        <w:t>:</w:t>
      </w:r>
    </w:p>
    <w:p w:rsidR="00356EB8" w:rsidP="00BA1C68">
      <w:pPr>
        <w:pStyle w:val="BoxText"/>
      </w:pPr>
      <w:r>
        <w:t>The proposed amendments have been finalised with changes.</w:t>
      </w:r>
    </w:p>
    <w:p w:rsidR="00356EB8" w:rsidP="00BA1C68">
      <w:pPr>
        <w:pStyle w:val="BoxText"/>
      </w:pPr>
      <w:r w:rsidRPr="001C3F20">
        <w:t>The department acknowledges feedback that management practices (such as shearing and horn tipping) can occur after sourcing, so livestock meet eligibility criteria and this has been noted in</w:t>
      </w:r>
      <w:r>
        <w:t xml:space="preserve"> </w:t>
      </w:r>
      <w:r w:rsidRPr="001C3F20">
        <w:t>each table to clarify requirements.</w:t>
      </w:r>
      <w:r>
        <w:t xml:space="preserve"> H</w:t>
      </w:r>
      <w:r w:rsidRPr="001C3F20">
        <w:t>orn length limits for sheep and cattle have been included within the tables, in response to feedback. Footnotes have also been added to the tables to note exceptions to horn and wool length rejection criteria. The word ‘would’ has been replaced with ‘could’, to more appropriately address risk levels.</w:t>
      </w:r>
    </w:p>
    <w:p w:rsidR="00356EB8" w:rsidRPr="00455013" w:rsidP="00BA1C68">
      <w:pPr>
        <w:pStyle w:val="BoxText"/>
      </w:pPr>
      <w:r w:rsidRPr="001C3F20">
        <w:t>Internal and external consultation identified that it is livestock that don’t meet wool length and horn requirements that are most frequently ‘missed’ during the reject management process. Therefore, the department considers it is useful to reinforce wool length and horn requirements by adding them to the rejection criteria tables.</w:t>
      </w:r>
    </w:p>
    <w:p w:rsidR="001F0CEF" w:rsidRPr="0024550C" w:rsidP="001C3F20">
      <w:pPr>
        <w:pStyle w:val="Heading3"/>
        <w:numPr>
          <w:ilvl w:val="0"/>
          <w:numId w:val="0"/>
        </w:numPr>
      </w:pPr>
      <w:r w:rsidRPr="008A12D9">
        <w:rPr>
          <w:rFonts w:eastAsiaTheme="minorEastAsia"/>
          <w:lang w:eastAsia="ja-JP"/>
        </w:rPr>
        <w:t xml:space="preserve">Amended </w:t>
      </w:r>
      <w:r>
        <w:rPr>
          <w:rFonts w:eastAsiaTheme="minorEastAsia"/>
          <w:lang w:eastAsia="ja-JP"/>
        </w:rPr>
        <w:t>tables</w:t>
      </w:r>
      <w:r w:rsidRPr="008A12D9">
        <w:rPr>
          <w:rFonts w:eastAsiaTheme="minorEastAsia"/>
          <w:lang w:eastAsia="ja-JP"/>
        </w:rPr>
        <w:t xml:space="preserve"> </w:t>
      </w:r>
      <w:r>
        <w:rPr>
          <w:rFonts w:eastAsiaTheme="minorEastAsia"/>
          <w:lang w:eastAsia="ja-JP"/>
        </w:rPr>
        <w:t>for ASEL 3.3</w:t>
      </w:r>
    </w:p>
    <w:p w:rsidR="000D35BF" w:rsidRPr="001C3F20" w:rsidP="001C3F20">
      <w:pPr>
        <w:rPr>
          <w:b/>
          <w:bCs/>
          <w:i/>
          <w:iCs/>
        </w:rPr>
      </w:pPr>
      <w:r w:rsidRPr="001C3F20">
        <w:rPr>
          <w:i/>
          <w:iCs/>
        </w:rPr>
        <w:t>(These versions of Table 1 and Table 23 come into force on 30 November 2023)</w:t>
      </w:r>
    </w:p>
    <w:p w:rsidR="000D35BF" w:rsidRPr="001C3F20" w:rsidP="001C3F20">
      <w:pPr>
        <w:rPr>
          <w:b/>
          <w:bCs/>
          <w:lang w:eastAsia="ja-JP"/>
        </w:rPr>
      </w:pPr>
      <w:r w:rsidRPr="001C3F20">
        <w:rPr>
          <w:b/>
          <w:bCs/>
          <w:lang w:eastAsia="ja-JP"/>
        </w:rPr>
        <w:t>Table 1 Rejection criteria for all species by sea</w:t>
      </w:r>
    </w:p>
    <w:p w:rsidR="00047F84" w:rsidP="00047F84">
      <w:pPr>
        <w:pStyle w:val="FigureTableNoteSource"/>
      </w:pPr>
      <w:r>
        <w:t>NB: For some rejection criteria, management procedures may occur after sourcing so livestock meet eligibility criteria at the time of export.</w:t>
      </w:r>
    </w:p>
    <w:tbl>
      <w:tblPr>
        <w:tblW w:w="5000" w:type="pct"/>
        <w:tblInd w:w="0" w:type="dxa"/>
        <w:tblBorders>
          <w:top w:val="single" w:sz="4" w:space="0" w:color="auto"/>
          <w:bottom w:val="single" w:sz="4" w:space="0" w:color="auto"/>
        </w:tblBorders>
        <w:tblCellMar>
          <w:top w:w="0" w:type="dxa"/>
          <w:left w:w="108" w:type="dxa"/>
          <w:bottom w:w="0" w:type="dxa"/>
          <w:right w:w="108" w:type="dxa"/>
        </w:tblCellMar>
        <w:tblLook w:val="01E0"/>
      </w:tblPr>
      <w:tblGrid>
        <w:gridCol w:w="2302"/>
        <w:gridCol w:w="7110"/>
      </w:tblGrid>
      <w:tr w:rsidTr="00C64E4F">
        <w:tblPrEx>
          <w:tblW w:w="5000" w:type="pct"/>
          <w:tblInd w:w="0" w:type="dxa"/>
          <w:tblBorders>
            <w:top w:val="single" w:sz="4" w:space="0" w:color="auto"/>
            <w:bottom w:val="single" w:sz="4" w:space="0" w:color="auto"/>
          </w:tblBorders>
          <w:tblCellMar>
            <w:top w:w="0" w:type="dxa"/>
            <w:left w:w="108" w:type="dxa"/>
            <w:bottom w:w="0" w:type="dxa"/>
            <w:right w:w="108" w:type="dxa"/>
          </w:tblCellMar>
          <w:tblLook w:val="01E0"/>
        </w:tblPrEx>
        <w:trPr>
          <w:cantSplit/>
          <w:tblHeader/>
        </w:trPr>
        <w:tc>
          <w:tcPr>
            <w:tcW w:w="1223" w:type="pct"/>
            <w:tcBorders>
              <w:top w:val="single" w:sz="4" w:space="0" w:color="auto"/>
              <w:bottom w:val="single" w:sz="4" w:space="0" w:color="auto"/>
            </w:tcBorders>
          </w:tcPr>
          <w:p w:rsidR="000D35BF" w:rsidRPr="00AA2D3E" w:rsidP="00C64E4F">
            <w:pPr>
              <w:pStyle w:val="TableHeading"/>
              <w:keepNext/>
              <w:spacing w:before="60" w:after="60" w:line="240" w:lineRule="auto"/>
              <w:ind w:right="-6"/>
              <w:rPr>
                <w:rStyle w:val="DefaultParagraphFont"/>
                <w:rFonts w:ascii="Calibri" w:hAnsi="Calibri" w:eastAsiaTheme="minorHAnsi" w:cs="Calibri"/>
                <w:b/>
                <w:sz w:val="19"/>
                <w:szCs w:val="22"/>
                <w:lang w:val="en-AU" w:eastAsia="en-US" w:bidi="ar-SA"/>
              </w:rPr>
            </w:pPr>
            <w:r w:rsidRPr="00AA2D3E">
              <w:rPr>
                <w:rFonts w:ascii="Calibri" w:hAnsi="Calibri" w:eastAsiaTheme="minorHAnsi" w:cs="Calibri"/>
                <w:b/>
                <w:sz w:val="18"/>
                <w:szCs w:val="22"/>
                <w:lang w:val="en-AU" w:eastAsia="en-US" w:bidi="ar-SA"/>
              </w:rPr>
              <w:t>Category</w:t>
            </w:r>
          </w:p>
        </w:tc>
        <w:tc>
          <w:tcPr>
            <w:tcW w:w="3777" w:type="pct"/>
            <w:tcBorders>
              <w:top w:val="single" w:sz="4" w:space="0" w:color="auto"/>
              <w:bottom w:val="single" w:sz="4" w:space="0" w:color="auto"/>
            </w:tcBorders>
          </w:tcPr>
          <w:p w:rsidR="000D35BF" w:rsidRPr="00AA2D3E" w:rsidP="00C64E4F">
            <w:pPr>
              <w:pStyle w:val="TableHeading"/>
              <w:keepNext/>
              <w:spacing w:before="60" w:after="60" w:line="240" w:lineRule="auto"/>
              <w:ind w:right="-6"/>
              <w:rPr>
                <w:rStyle w:val="DefaultParagraphFont"/>
                <w:rFonts w:ascii="Calibri" w:hAnsi="Calibri" w:eastAsiaTheme="minorHAnsi" w:cs="Calibri"/>
                <w:b/>
                <w:sz w:val="19"/>
                <w:szCs w:val="22"/>
                <w:lang w:val="en-AU" w:eastAsia="en-US" w:bidi="ar-SA"/>
              </w:rPr>
            </w:pPr>
            <w:r w:rsidRPr="00AA2D3E">
              <w:rPr>
                <w:rFonts w:ascii="Calibri" w:hAnsi="Calibri" w:eastAsiaTheme="minorHAnsi" w:cs="Calibri"/>
                <w:b/>
                <w:sz w:val="18"/>
                <w:szCs w:val="22"/>
                <w:lang w:val="en-AU" w:eastAsia="en-US" w:bidi="ar-SA"/>
              </w:rPr>
              <w:t>Rejection criteria</w:t>
            </w:r>
          </w:p>
        </w:tc>
      </w:tr>
      <w:tr w:rsidTr="00C64E4F">
        <w:tblPrEx>
          <w:tblW w:w="5000" w:type="pct"/>
          <w:tblInd w:w="0" w:type="dxa"/>
          <w:tblCellMar>
            <w:top w:w="0" w:type="dxa"/>
            <w:left w:w="108" w:type="dxa"/>
            <w:bottom w:w="0" w:type="dxa"/>
            <w:right w:w="108" w:type="dxa"/>
          </w:tblCellMar>
          <w:tblLook w:val="01E0"/>
        </w:tblPrEx>
        <w:trPr>
          <w:trHeight w:val="784"/>
        </w:trPr>
        <w:tc>
          <w:tcPr>
            <w:tcW w:w="1223" w:type="pct"/>
            <w:tcBorders>
              <w:top w:val="single" w:sz="4" w:space="0" w:color="auto"/>
            </w:tcBorders>
          </w:tcPr>
          <w:p w:rsidR="000D35BF" w:rsidRPr="00AA2D3E" w:rsidP="00C64E4F">
            <w:pPr>
              <w:pStyle w:val="TableText"/>
              <w:spacing w:before="60" w:after="60"/>
              <w:ind w:right="-6"/>
              <w:rPr>
                <w:rStyle w:val="DefaultParagraphFont"/>
                <w:rFonts w:eastAsia="Times New Roman" w:asciiTheme="minorHAnsi" w:hAnsiTheme="minorHAnsi" w:cstheme="minorHAnsi"/>
                <w:color w:val="000000"/>
                <w:sz w:val="19"/>
                <w:szCs w:val="22"/>
                <w:lang w:val="en-GB" w:eastAsia="en-AU" w:bidi="ar-SA"/>
              </w:rPr>
            </w:pPr>
            <w:r w:rsidRPr="00AA2D3E">
              <w:rPr>
                <w:rFonts w:asciiTheme="minorHAnsi" w:eastAsiaTheme="minorHAnsi" w:hAnsiTheme="minorHAnsi" w:cstheme="minorHAnsi"/>
                <w:color w:val="000000"/>
                <w:sz w:val="18"/>
                <w:szCs w:val="22"/>
                <w:lang w:val="en-AU" w:eastAsia="en-AU" w:bidi="ar-SA"/>
              </w:rPr>
              <w:t>General requirements</w:t>
            </w:r>
          </w:p>
        </w:tc>
        <w:tc>
          <w:tcPr>
            <w:tcW w:w="3777" w:type="pct"/>
            <w:tcBorders>
              <w:top w:val="single" w:sz="4" w:space="0" w:color="auto"/>
            </w:tcBorders>
            <w:shd w:val="clear" w:color="auto" w:fill="auto"/>
          </w:tcPr>
          <w:p w:rsidR="000D35BF" w:rsidRPr="001628CE" w:rsidP="00C64E4F">
            <w:pPr>
              <w:pStyle w:val="TableBullet1"/>
              <w:numPr>
                <w:numId w:val="8"/>
              </w:numPr>
              <w:spacing w:before="60" w:after="60" w:line="240" w:lineRule="auto"/>
              <w:ind w:left="720" w:hanging="360"/>
              <w:rPr>
                <w:rStyle w:val="DefaultParagraphFont"/>
                <w:rFonts w:asciiTheme="minorHAnsi" w:eastAsiaTheme="minorHAnsi" w:hAnsiTheme="minorHAnsi" w:cstheme="minorHAnsi"/>
                <w:sz w:val="18"/>
                <w:szCs w:val="22"/>
                <w:lang w:val="en-AU" w:eastAsia="en-US" w:bidi="ar-SA"/>
              </w:rPr>
            </w:pPr>
            <w:r w:rsidRPr="001628CE">
              <w:rPr>
                <w:rFonts w:asciiTheme="minorHAnsi" w:eastAsiaTheme="minorHAnsi" w:hAnsiTheme="minorHAnsi" w:cstheme="minorHAnsi"/>
                <w:sz w:val="18"/>
                <w:szCs w:val="22"/>
                <w:lang w:val="en-AU" w:eastAsia="en-US" w:bidi="ar-SA"/>
              </w:rPr>
              <w:t>Sheep wool or hair longer than 25mm*</w:t>
            </w:r>
          </w:p>
          <w:p w:rsidR="000D35BF" w:rsidRPr="00AA2D3E" w:rsidP="00C64E4F">
            <w:pPr>
              <w:pStyle w:val="TableBullet1"/>
              <w:numPr>
                <w:numId w:val="8"/>
              </w:numPr>
              <w:spacing w:before="60" w:after="60" w:line="240" w:lineRule="auto"/>
              <w:ind w:left="720" w:right="-6" w:hanging="360"/>
              <w:rPr>
                <w:rStyle w:val="DefaultParagraphFont"/>
                <w:rFonts w:asciiTheme="minorHAnsi" w:eastAsiaTheme="minorHAnsi" w:hAnsiTheme="minorHAnsi" w:cstheme="minorHAnsi"/>
                <w:sz w:val="19"/>
                <w:szCs w:val="22"/>
                <w:lang w:val="en-AU" w:eastAsia="en-US" w:bidi="ar-SA"/>
              </w:rPr>
            </w:pPr>
            <w:r w:rsidRPr="00AA2D3E">
              <w:rPr>
                <w:rFonts w:asciiTheme="minorHAnsi" w:eastAsiaTheme="minorHAnsi" w:hAnsiTheme="minorHAnsi" w:cstheme="minorHAnsi"/>
                <w:sz w:val="18"/>
                <w:szCs w:val="22"/>
                <w:lang w:val="en-AU" w:eastAsia="en-US" w:bidi="ar-SA"/>
              </w:rPr>
              <w:t>Failure to meet importing country requirements including sex or breed if specified</w:t>
            </w:r>
          </w:p>
          <w:p w:rsidR="000D35BF" w:rsidRPr="00AA2D3E" w:rsidP="00C64E4F">
            <w:pPr>
              <w:pStyle w:val="TableBullet1"/>
              <w:numPr>
                <w:numId w:val="8"/>
              </w:numPr>
              <w:spacing w:before="60" w:after="60" w:line="240" w:lineRule="auto"/>
              <w:ind w:left="720" w:right="-6" w:hanging="360"/>
              <w:rPr>
                <w:rStyle w:val="DefaultParagraphFont"/>
                <w:rFonts w:asciiTheme="minorHAnsi" w:eastAsiaTheme="minorHAnsi" w:hAnsiTheme="minorHAnsi" w:cstheme="minorHAnsi"/>
                <w:sz w:val="19"/>
                <w:szCs w:val="22"/>
                <w:lang w:val="en-AU" w:eastAsia="en-US" w:bidi="ar-SA"/>
              </w:rPr>
            </w:pPr>
            <w:r w:rsidRPr="00AA2D3E">
              <w:rPr>
                <w:rFonts w:asciiTheme="minorHAnsi" w:eastAsiaTheme="minorHAnsi" w:hAnsiTheme="minorHAnsi" w:cstheme="minorHAnsi"/>
                <w:sz w:val="18"/>
                <w:szCs w:val="22"/>
                <w:lang w:val="en-US" w:eastAsia="en-US" w:bidi="ar-SA"/>
              </w:rPr>
              <w:t>Pregnancy status not confirmed as appropriate for export</w:t>
            </w:r>
          </w:p>
          <w:p w:rsidR="000D35BF" w:rsidRPr="00AA2D3E" w:rsidP="00C64E4F">
            <w:pPr>
              <w:pStyle w:val="TableBullet1"/>
              <w:numPr>
                <w:numId w:val="8"/>
              </w:numPr>
              <w:spacing w:before="60" w:after="60" w:line="240" w:lineRule="auto"/>
              <w:ind w:left="720" w:right="-6" w:hanging="360"/>
              <w:rPr>
                <w:rStyle w:val="DefaultParagraphFont"/>
                <w:rFonts w:asciiTheme="minorHAnsi" w:eastAsiaTheme="minorHAnsi" w:hAnsiTheme="minorHAnsi" w:cstheme="minorHAnsi"/>
                <w:sz w:val="19"/>
                <w:szCs w:val="22"/>
                <w:lang w:val="en-AU" w:eastAsia="en-US" w:bidi="ar-SA"/>
              </w:rPr>
            </w:pPr>
            <w:r w:rsidRPr="00AA2D3E">
              <w:rPr>
                <w:rFonts w:asciiTheme="minorHAnsi" w:eastAsiaTheme="minorHAnsi" w:hAnsiTheme="minorHAnsi" w:cstheme="minorHAnsi"/>
                <w:sz w:val="18"/>
                <w:szCs w:val="22"/>
                <w:lang w:val="en-US" w:eastAsia="en-US" w:bidi="ar-SA"/>
              </w:rPr>
              <w:t>Lactating animals/lactating animals with young at foot</w:t>
            </w:r>
          </w:p>
          <w:p w:rsidR="000D35BF" w:rsidRPr="00AA2D3E" w:rsidP="00C64E4F">
            <w:pPr>
              <w:pStyle w:val="TableBullet1"/>
              <w:numPr>
                <w:numId w:val="8"/>
              </w:numPr>
              <w:spacing w:before="60" w:after="60" w:line="240" w:lineRule="auto"/>
              <w:ind w:left="720" w:right="-6" w:hanging="360"/>
              <w:rPr>
                <w:rStyle w:val="DefaultParagraphFont"/>
                <w:rFonts w:asciiTheme="minorHAnsi" w:eastAsiaTheme="minorHAnsi" w:hAnsiTheme="minorHAnsi" w:cstheme="minorHAnsi"/>
                <w:sz w:val="19"/>
                <w:szCs w:val="22"/>
                <w:lang w:val="en-AU" w:eastAsia="en-US" w:bidi="ar-SA"/>
              </w:rPr>
            </w:pPr>
            <w:r w:rsidRPr="00AA2D3E">
              <w:rPr>
                <w:rFonts w:asciiTheme="minorHAnsi" w:eastAsiaTheme="minorHAnsi" w:hAnsiTheme="minorHAnsi" w:cstheme="minorHAnsi"/>
                <w:sz w:val="18"/>
                <w:szCs w:val="22"/>
                <w:lang w:val="en-US" w:eastAsia="en-US" w:bidi="ar-SA"/>
              </w:rPr>
              <w:t>Viral diseases such as scabby mouth or infectious bovine rhinotracheitis</w:t>
            </w:r>
          </w:p>
          <w:p w:rsidR="000D35BF" w:rsidRPr="00AA2D3E" w:rsidP="00C64E4F">
            <w:pPr>
              <w:pStyle w:val="TableBullet1"/>
              <w:numPr>
                <w:numId w:val="8"/>
              </w:numPr>
              <w:spacing w:before="60" w:after="60" w:line="240" w:lineRule="auto"/>
              <w:ind w:left="720" w:right="-6" w:hanging="360"/>
              <w:rPr>
                <w:rStyle w:val="DefaultParagraphFont"/>
                <w:rFonts w:asciiTheme="minorHAnsi" w:eastAsiaTheme="minorHAnsi" w:hAnsiTheme="minorHAnsi" w:cstheme="minorHAnsi"/>
                <w:sz w:val="19"/>
                <w:szCs w:val="22"/>
                <w:lang w:val="en-AU" w:eastAsia="en-US" w:bidi="ar-SA"/>
              </w:rPr>
            </w:pPr>
            <w:r w:rsidRPr="00AA2D3E">
              <w:rPr>
                <w:rFonts w:asciiTheme="minorHAnsi" w:eastAsiaTheme="minorHAnsi" w:hAnsiTheme="minorHAnsi" w:cstheme="minorHAnsi"/>
                <w:sz w:val="18"/>
                <w:szCs w:val="22"/>
                <w:lang w:val="en-US" w:eastAsia="en-US" w:bidi="ar-SA"/>
              </w:rPr>
              <w:t>Animals displaying clinical signs of infectious or contagious disease or external parasites</w:t>
            </w:r>
          </w:p>
          <w:p w:rsidR="000D35BF" w:rsidRPr="00AA2D3E" w:rsidP="00C64E4F">
            <w:pPr>
              <w:pStyle w:val="TableBullet1"/>
              <w:numPr>
                <w:numId w:val="8"/>
              </w:numPr>
              <w:spacing w:before="60" w:after="60" w:line="240" w:lineRule="auto"/>
              <w:ind w:left="720" w:right="-6" w:hanging="360"/>
              <w:rPr>
                <w:rStyle w:val="DefaultParagraphFont"/>
                <w:rFonts w:asciiTheme="minorHAnsi" w:eastAsiaTheme="minorHAnsi" w:hAnsiTheme="minorHAnsi" w:cstheme="minorHAnsi"/>
                <w:sz w:val="19"/>
                <w:szCs w:val="22"/>
                <w:lang w:val="en-AU" w:eastAsia="en-US" w:bidi="ar-SA"/>
              </w:rPr>
            </w:pPr>
            <w:r w:rsidRPr="00AA2D3E">
              <w:rPr>
                <w:rFonts w:asciiTheme="minorHAnsi" w:eastAsiaTheme="minorHAnsi" w:hAnsiTheme="minorHAnsi" w:cstheme="minorHAnsi"/>
                <w:sz w:val="18"/>
                <w:szCs w:val="22"/>
                <w:lang w:val="en-US" w:eastAsia="en-US" w:bidi="ar-SA"/>
              </w:rPr>
              <w:t>Animals showing signs of injury such as but not limited to fractures or swelling</w:t>
            </w:r>
          </w:p>
        </w:tc>
      </w:tr>
      <w:tr w:rsidTr="00C64E4F">
        <w:tblPrEx>
          <w:tblW w:w="5000" w:type="pct"/>
          <w:tblInd w:w="0" w:type="dxa"/>
          <w:tblCellMar>
            <w:top w:w="0" w:type="dxa"/>
            <w:left w:w="108" w:type="dxa"/>
            <w:bottom w:w="0" w:type="dxa"/>
            <w:right w:w="108" w:type="dxa"/>
          </w:tblCellMar>
          <w:tblLook w:val="01E0"/>
        </w:tblPrEx>
        <w:trPr>
          <w:trHeight w:val="1433"/>
        </w:trPr>
        <w:tc>
          <w:tcPr>
            <w:tcW w:w="1223" w:type="pct"/>
            <w:tcBorders>
              <w:top w:val="single" w:sz="4" w:space="0" w:color="auto"/>
              <w:bottom w:val="single" w:sz="4" w:space="0" w:color="auto"/>
            </w:tcBorders>
          </w:tcPr>
          <w:p w:rsidR="000D35BF" w:rsidRPr="00AA2D3E" w:rsidP="00C64E4F">
            <w:pPr>
              <w:pStyle w:val="TableText"/>
              <w:spacing w:before="60" w:after="60"/>
              <w:ind w:right="-6"/>
              <w:rPr>
                <w:rStyle w:val="DefaultParagraphFont"/>
                <w:rFonts w:eastAsia="Times New Roman" w:asciiTheme="minorHAnsi" w:hAnsiTheme="minorHAnsi" w:cstheme="minorHAnsi"/>
                <w:color w:val="000000"/>
                <w:sz w:val="19"/>
                <w:szCs w:val="22"/>
                <w:lang w:val="en-GB" w:eastAsia="en-AU" w:bidi="ar-SA"/>
              </w:rPr>
            </w:pPr>
            <w:r w:rsidRPr="00AA2D3E">
              <w:rPr>
                <w:rFonts w:asciiTheme="minorHAnsi" w:eastAsiaTheme="minorHAnsi" w:hAnsiTheme="minorHAnsi" w:cstheme="minorHAnsi"/>
                <w:color w:val="000000"/>
                <w:sz w:val="18"/>
                <w:szCs w:val="22"/>
                <w:lang w:val="en-AU" w:eastAsia="en-AU" w:bidi="ar-SA"/>
              </w:rPr>
              <w:t>Systemic conditions</w:t>
            </w:r>
          </w:p>
        </w:tc>
        <w:tc>
          <w:tcPr>
            <w:tcW w:w="3777" w:type="pct"/>
            <w:tcBorders>
              <w:top w:val="single" w:sz="4" w:space="0" w:color="auto"/>
              <w:bottom w:val="single" w:sz="4" w:space="0" w:color="auto"/>
            </w:tcBorders>
          </w:tcPr>
          <w:p w:rsidR="000D35BF" w:rsidRPr="00AA2D3E" w:rsidP="00C64E4F">
            <w:pPr>
              <w:pStyle w:val="TableBullet1"/>
              <w:numPr>
                <w:numId w:val="8"/>
              </w:numPr>
              <w:spacing w:before="60" w:after="60" w:line="240" w:lineRule="auto"/>
              <w:ind w:left="720" w:right="-6" w:hanging="360"/>
              <w:rPr>
                <w:rStyle w:val="DefaultParagraphFont"/>
                <w:rFonts w:asciiTheme="minorHAnsi" w:eastAsiaTheme="minorHAnsi" w:hAnsiTheme="minorHAnsi" w:cstheme="minorHAnsi"/>
                <w:sz w:val="19"/>
                <w:szCs w:val="22"/>
                <w:lang w:val="en-AU" w:eastAsia="en-AU" w:bidi="ar-SA"/>
              </w:rPr>
            </w:pPr>
            <w:r w:rsidRPr="00AA2D3E">
              <w:rPr>
                <w:rFonts w:asciiTheme="minorHAnsi" w:eastAsiaTheme="minorHAnsi" w:hAnsiTheme="minorHAnsi" w:cstheme="minorHAnsi"/>
                <w:sz w:val="18"/>
                <w:szCs w:val="22"/>
                <w:lang w:val="en-AU" w:eastAsia="en-AU" w:bidi="ar-SA"/>
              </w:rPr>
              <w:t>Body condition score not appropriate for export (such as emaciated or over-fat)</w:t>
            </w:r>
          </w:p>
          <w:p w:rsidR="000D35BF" w:rsidRPr="00AA2D3E" w:rsidP="00C64E4F">
            <w:pPr>
              <w:pStyle w:val="TableBullet1"/>
              <w:numPr>
                <w:numId w:val="8"/>
              </w:numPr>
              <w:spacing w:before="60" w:after="60" w:line="240" w:lineRule="auto"/>
              <w:ind w:left="720" w:right="-6" w:hanging="360"/>
              <w:rPr>
                <w:rStyle w:val="DefaultParagraphFont"/>
                <w:rFonts w:asciiTheme="minorHAnsi" w:eastAsiaTheme="minorHAnsi" w:hAnsiTheme="minorHAnsi" w:cstheme="minorHAnsi"/>
                <w:sz w:val="19"/>
                <w:szCs w:val="22"/>
                <w:lang w:val="en-AU" w:eastAsia="en-US" w:bidi="ar-SA"/>
              </w:rPr>
            </w:pPr>
            <w:r w:rsidRPr="00AA2D3E">
              <w:rPr>
                <w:rFonts w:asciiTheme="minorHAnsi" w:eastAsiaTheme="minorHAnsi" w:hAnsiTheme="minorHAnsi" w:cstheme="minorHAnsi"/>
                <w:sz w:val="18"/>
                <w:szCs w:val="22"/>
                <w:lang w:val="en-US" w:eastAsia="en-US" w:bidi="ar-SA"/>
              </w:rPr>
              <w:t>Anorexia (inappetence or 'shy feeders')</w:t>
            </w:r>
          </w:p>
          <w:p w:rsidR="000D35BF" w:rsidRPr="00AA2D3E" w:rsidP="00C64E4F">
            <w:pPr>
              <w:pStyle w:val="TableBullet1"/>
              <w:numPr>
                <w:numId w:val="8"/>
              </w:numPr>
              <w:spacing w:before="60" w:after="60" w:line="240" w:lineRule="auto"/>
              <w:ind w:left="720" w:right="-6" w:hanging="360"/>
              <w:rPr>
                <w:rStyle w:val="DefaultParagraphFont"/>
                <w:rFonts w:asciiTheme="minorHAnsi" w:eastAsiaTheme="minorHAnsi" w:hAnsiTheme="minorHAnsi" w:cstheme="minorHAnsi"/>
                <w:sz w:val="19"/>
                <w:szCs w:val="22"/>
                <w:lang w:val="en-AU" w:eastAsia="en-US" w:bidi="ar-SA"/>
              </w:rPr>
            </w:pPr>
            <w:r w:rsidRPr="00AA2D3E">
              <w:rPr>
                <w:rFonts w:asciiTheme="minorHAnsi" w:eastAsiaTheme="minorHAnsi" w:hAnsiTheme="minorHAnsi" w:cstheme="minorHAnsi"/>
                <w:sz w:val="18"/>
                <w:szCs w:val="22"/>
                <w:lang w:val="en-US" w:eastAsia="en-US" w:bidi="ar-SA"/>
              </w:rPr>
              <w:t>Uncoordinated, collapsed, weak</w:t>
            </w:r>
          </w:p>
          <w:p w:rsidR="000D35BF" w:rsidRPr="00AA2D3E" w:rsidP="00C64E4F">
            <w:pPr>
              <w:pStyle w:val="TableBullet1"/>
              <w:numPr>
                <w:numId w:val="8"/>
              </w:numPr>
              <w:spacing w:before="60" w:after="60" w:line="240" w:lineRule="auto"/>
              <w:ind w:left="720" w:right="-6" w:hanging="360"/>
              <w:rPr>
                <w:rStyle w:val="DefaultParagraphFont"/>
                <w:rFonts w:asciiTheme="minorHAnsi" w:eastAsiaTheme="minorHAnsi" w:hAnsiTheme="minorHAnsi" w:cstheme="minorHAnsi"/>
                <w:sz w:val="19"/>
                <w:szCs w:val="22"/>
                <w:lang w:val="en-AU" w:eastAsia="en-US" w:bidi="ar-SA"/>
              </w:rPr>
            </w:pPr>
            <w:r w:rsidRPr="00AA2D3E">
              <w:rPr>
                <w:rFonts w:asciiTheme="minorHAnsi" w:eastAsiaTheme="minorHAnsi" w:hAnsiTheme="minorHAnsi" w:cstheme="minorHAnsi"/>
                <w:sz w:val="18"/>
                <w:szCs w:val="22"/>
                <w:lang w:val="en-US" w:eastAsia="en-US" w:bidi="ar-SA"/>
              </w:rPr>
              <w:t>Unwell, lethargic, dehydrated</w:t>
            </w:r>
          </w:p>
          <w:p w:rsidR="000D35BF" w:rsidRPr="00AA2D3E" w:rsidP="00C64E4F">
            <w:pPr>
              <w:pStyle w:val="TableBullet1"/>
              <w:numPr>
                <w:numId w:val="8"/>
              </w:numPr>
              <w:spacing w:before="60" w:after="60" w:line="240" w:lineRule="auto"/>
              <w:ind w:left="720" w:right="-6" w:hanging="360"/>
              <w:rPr>
                <w:rStyle w:val="DefaultParagraphFont"/>
                <w:rFonts w:asciiTheme="minorHAnsi" w:eastAsiaTheme="minorHAnsi" w:hAnsiTheme="minorHAnsi" w:cstheme="minorHAnsi"/>
                <w:sz w:val="19"/>
                <w:szCs w:val="22"/>
                <w:lang w:val="en-AU" w:eastAsia="en-US" w:bidi="ar-SA"/>
              </w:rPr>
            </w:pPr>
            <w:r w:rsidRPr="00AA2D3E">
              <w:rPr>
                <w:rFonts w:asciiTheme="minorHAnsi" w:eastAsiaTheme="minorHAnsi" w:hAnsiTheme="minorHAnsi" w:cstheme="minorHAnsi"/>
                <w:sz w:val="18"/>
                <w:szCs w:val="22"/>
                <w:lang w:val="en-US" w:eastAsia="en-US" w:bidi="ar-SA"/>
              </w:rPr>
              <w:t>Ill-thrift</w:t>
            </w:r>
          </w:p>
        </w:tc>
      </w:tr>
      <w:tr w:rsidTr="00C64E4F">
        <w:tblPrEx>
          <w:tblW w:w="5000" w:type="pct"/>
          <w:tblInd w:w="0" w:type="dxa"/>
          <w:tblCellMar>
            <w:top w:w="0" w:type="dxa"/>
            <w:left w:w="108" w:type="dxa"/>
            <w:bottom w:w="0" w:type="dxa"/>
            <w:right w:w="108" w:type="dxa"/>
          </w:tblCellMar>
          <w:tblLook w:val="01E0"/>
        </w:tblPrEx>
        <w:trPr>
          <w:trHeight w:val="216"/>
        </w:trPr>
        <w:tc>
          <w:tcPr>
            <w:tcW w:w="1223" w:type="pct"/>
            <w:tcBorders>
              <w:top w:val="single" w:sz="4" w:space="0" w:color="auto"/>
              <w:bottom w:val="single" w:sz="4" w:space="0" w:color="auto"/>
            </w:tcBorders>
          </w:tcPr>
          <w:p w:rsidR="000D35BF" w:rsidRPr="00AA2D3E" w:rsidP="00C64E4F">
            <w:pPr>
              <w:pStyle w:val="TableText"/>
              <w:spacing w:before="60" w:after="60"/>
              <w:ind w:right="-6"/>
              <w:rPr>
                <w:rStyle w:val="DefaultParagraphFont"/>
                <w:rFonts w:eastAsia="Times New Roman" w:asciiTheme="minorHAnsi" w:hAnsiTheme="minorHAnsi" w:cstheme="minorHAnsi"/>
                <w:color w:val="000000"/>
                <w:sz w:val="19"/>
                <w:szCs w:val="22"/>
                <w:lang w:val="en-GB" w:eastAsia="en-AU" w:bidi="ar-SA"/>
              </w:rPr>
            </w:pPr>
            <w:r w:rsidRPr="00AA2D3E">
              <w:rPr>
                <w:rFonts w:asciiTheme="minorHAnsi" w:eastAsiaTheme="minorHAnsi" w:hAnsiTheme="minorHAnsi" w:cstheme="minorHAnsi"/>
                <w:color w:val="000000"/>
                <w:sz w:val="18"/>
                <w:szCs w:val="22"/>
                <w:lang w:val="en-AU" w:eastAsia="en-AU" w:bidi="ar-SA"/>
              </w:rPr>
              <w:t>Gastrointestinal system</w:t>
            </w:r>
          </w:p>
        </w:tc>
        <w:tc>
          <w:tcPr>
            <w:tcW w:w="3777" w:type="pct"/>
            <w:tcBorders>
              <w:top w:val="single" w:sz="4" w:space="0" w:color="auto"/>
              <w:bottom w:val="single" w:sz="4" w:space="0" w:color="auto"/>
            </w:tcBorders>
          </w:tcPr>
          <w:p w:rsidR="000D35BF" w:rsidRPr="00AA2D3E" w:rsidP="00C64E4F">
            <w:pPr>
              <w:pStyle w:val="TableBullet1"/>
              <w:numPr>
                <w:numId w:val="8"/>
              </w:numPr>
              <w:spacing w:before="60" w:after="60" w:line="240" w:lineRule="auto"/>
              <w:ind w:left="720" w:right="-6" w:hanging="360"/>
              <w:rPr>
                <w:rStyle w:val="DefaultParagraphFont"/>
                <w:rFonts w:asciiTheme="minorHAnsi" w:eastAsiaTheme="minorHAnsi" w:hAnsiTheme="minorHAnsi" w:cstheme="minorHAnsi"/>
                <w:sz w:val="19"/>
                <w:szCs w:val="22"/>
                <w:lang w:val="en-AU" w:eastAsia="en-AU" w:bidi="ar-SA"/>
              </w:rPr>
            </w:pPr>
            <w:r w:rsidRPr="00AA2D3E">
              <w:rPr>
                <w:rFonts w:asciiTheme="minorHAnsi" w:eastAsiaTheme="minorHAnsi" w:hAnsiTheme="minorHAnsi" w:cstheme="minorHAnsi"/>
                <w:sz w:val="18"/>
                <w:szCs w:val="22"/>
                <w:lang w:val="en-AU" w:eastAsia="en-AU" w:bidi="ar-SA"/>
              </w:rPr>
              <w:t>Dysentery or profuse diarrhoea</w:t>
            </w:r>
          </w:p>
          <w:p w:rsidR="000D35BF" w:rsidRPr="00AA2D3E" w:rsidP="00C64E4F">
            <w:pPr>
              <w:pStyle w:val="TableBullet1"/>
              <w:numPr>
                <w:numId w:val="8"/>
              </w:numPr>
              <w:spacing w:before="60" w:after="60" w:line="240" w:lineRule="auto"/>
              <w:ind w:left="720" w:right="-6" w:hanging="360"/>
              <w:rPr>
                <w:rStyle w:val="DefaultParagraphFont"/>
                <w:rFonts w:asciiTheme="minorHAnsi" w:eastAsiaTheme="minorHAnsi" w:hAnsiTheme="minorHAnsi" w:cstheme="minorHAnsi"/>
                <w:sz w:val="19"/>
                <w:szCs w:val="22"/>
                <w:lang w:val="en-AU" w:eastAsia="en-AU" w:bidi="ar-SA"/>
              </w:rPr>
            </w:pPr>
            <w:r w:rsidRPr="00AA2D3E">
              <w:rPr>
                <w:rFonts w:asciiTheme="minorHAnsi" w:eastAsiaTheme="minorHAnsi" w:hAnsiTheme="minorHAnsi" w:cstheme="minorHAnsi"/>
                <w:sz w:val="18"/>
                <w:szCs w:val="22"/>
                <w:lang w:val="en-AU" w:eastAsia="en-AU" w:bidi="ar-SA"/>
              </w:rPr>
              <w:t>Bloat</w:t>
            </w:r>
          </w:p>
        </w:tc>
      </w:tr>
      <w:tr w:rsidTr="00C64E4F">
        <w:tblPrEx>
          <w:tblW w:w="5000" w:type="pct"/>
          <w:tblInd w:w="0" w:type="dxa"/>
          <w:tblCellMar>
            <w:top w:w="0" w:type="dxa"/>
            <w:left w:w="108" w:type="dxa"/>
            <w:bottom w:w="0" w:type="dxa"/>
            <w:right w:w="108" w:type="dxa"/>
          </w:tblCellMar>
          <w:tblLook w:val="01E0"/>
        </w:tblPrEx>
        <w:trPr>
          <w:trHeight w:val="607"/>
        </w:trPr>
        <w:tc>
          <w:tcPr>
            <w:tcW w:w="1223" w:type="pct"/>
            <w:tcBorders>
              <w:top w:val="single" w:sz="4" w:space="0" w:color="auto"/>
              <w:bottom w:val="single" w:sz="4" w:space="0" w:color="auto"/>
            </w:tcBorders>
          </w:tcPr>
          <w:p w:rsidR="000D35BF" w:rsidRPr="00AA2D3E" w:rsidP="00C64E4F">
            <w:pPr>
              <w:pStyle w:val="TableText"/>
              <w:spacing w:before="60" w:after="60"/>
              <w:ind w:right="-6"/>
              <w:rPr>
                <w:rStyle w:val="DefaultParagraphFont"/>
                <w:rFonts w:eastAsia="Times New Roman" w:asciiTheme="minorHAnsi" w:hAnsiTheme="minorHAnsi" w:cstheme="minorHAnsi"/>
                <w:color w:val="000000"/>
                <w:sz w:val="19"/>
                <w:szCs w:val="22"/>
                <w:lang w:val="en-GB" w:eastAsia="en-AU" w:bidi="ar-SA"/>
              </w:rPr>
            </w:pPr>
            <w:r w:rsidRPr="00AA2D3E">
              <w:rPr>
                <w:rFonts w:asciiTheme="minorHAnsi" w:eastAsiaTheme="minorHAnsi" w:hAnsiTheme="minorHAnsi" w:cstheme="minorHAnsi"/>
                <w:color w:val="000000"/>
                <w:sz w:val="18"/>
                <w:szCs w:val="22"/>
                <w:lang w:val="en-AU" w:eastAsia="en-AU" w:bidi="ar-SA"/>
              </w:rPr>
              <w:t>Musculoskeletal system</w:t>
            </w:r>
          </w:p>
        </w:tc>
        <w:tc>
          <w:tcPr>
            <w:tcW w:w="3777" w:type="pct"/>
            <w:tcBorders>
              <w:top w:val="single" w:sz="4" w:space="0" w:color="auto"/>
              <w:bottom w:val="single" w:sz="4" w:space="0" w:color="auto"/>
            </w:tcBorders>
          </w:tcPr>
          <w:p w:rsidR="000D35BF" w:rsidRPr="00AA2D3E" w:rsidP="00C64E4F">
            <w:pPr>
              <w:pStyle w:val="TableBullet1"/>
              <w:numPr>
                <w:numId w:val="8"/>
              </w:numPr>
              <w:spacing w:before="60" w:after="60" w:line="240" w:lineRule="auto"/>
              <w:ind w:left="720" w:right="-6" w:hanging="360"/>
              <w:rPr>
                <w:rStyle w:val="DefaultParagraphFont"/>
                <w:rFonts w:asciiTheme="minorHAnsi" w:eastAsiaTheme="minorHAnsi" w:hAnsiTheme="minorHAnsi" w:cstheme="minorHAnsi"/>
                <w:sz w:val="19"/>
                <w:szCs w:val="22"/>
                <w:lang w:val="en-AU" w:eastAsia="en-AU" w:bidi="ar-SA"/>
              </w:rPr>
            </w:pPr>
            <w:r w:rsidRPr="00AA2D3E">
              <w:rPr>
                <w:rFonts w:asciiTheme="minorHAnsi" w:eastAsiaTheme="minorHAnsi" w:hAnsiTheme="minorHAnsi" w:cstheme="minorHAnsi"/>
                <w:sz w:val="18"/>
                <w:szCs w:val="22"/>
                <w:lang w:val="en-AU" w:eastAsia="en-AU" w:bidi="ar-SA"/>
              </w:rPr>
              <w:t xml:space="preserve">Abnormal gait or </w:t>
            </w:r>
            <w:r w:rsidRPr="00AA2D3E">
              <w:rPr>
                <w:rFonts w:asciiTheme="minorHAnsi" w:eastAsiaTheme="minorHAnsi" w:hAnsiTheme="minorHAnsi" w:cstheme="minorHAnsi"/>
                <w:sz w:val="18"/>
                <w:szCs w:val="22"/>
                <w:lang w:val="en-AU" w:eastAsia="en-AU" w:bidi="ar-SA"/>
              </w:rPr>
              <w:t>lameness of any kind</w:t>
            </w:r>
          </w:p>
          <w:p w:rsidR="000D35BF" w:rsidRPr="00AA2D3E" w:rsidP="00C64E4F">
            <w:pPr>
              <w:pStyle w:val="TableBullet1"/>
              <w:numPr>
                <w:numId w:val="8"/>
              </w:numPr>
              <w:spacing w:before="60" w:after="60" w:line="240" w:lineRule="auto"/>
              <w:ind w:left="720" w:right="-6" w:hanging="360"/>
              <w:rPr>
                <w:rStyle w:val="DefaultParagraphFont"/>
                <w:rFonts w:asciiTheme="minorHAnsi" w:eastAsiaTheme="minorHAnsi" w:hAnsiTheme="minorHAnsi" w:cstheme="minorHAnsi"/>
                <w:sz w:val="19"/>
                <w:szCs w:val="22"/>
                <w:lang w:val="en-AU" w:eastAsia="en-AU" w:bidi="ar-SA"/>
              </w:rPr>
            </w:pPr>
            <w:r w:rsidRPr="00AA2D3E">
              <w:rPr>
                <w:rFonts w:asciiTheme="minorHAnsi" w:eastAsiaTheme="minorHAnsi" w:hAnsiTheme="minorHAnsi" w:cstheme="minorHAnsi"/>
                <w:sz w:val="18"/>
                <w:szCs w:val="22"/>
                <w:lang w:val="en-AU" w:eastAsia="en-AU" w:bidi="ar-SA"/>
              </w:rPr>
              <w:t>Abnormal soft tissue or bony swellings</w:t>
            </w:r>
          </w:p>
        </w:tc>
      </w:tr>
      <w:tr w:rsidTr="00C64E4F">
        <w:tblPrEx>
          <w:tblW w:w="5000" w:type="pct"/>
          <w:tblInd w:w="0" w:type="dxa"/>
          <w:tblCellMar>
            <w:top w:w="0" w:type="dxa"/>
            <w:left w:w="108" w:type="dxa"/>
            <w:bottom w:w="0" w:type="dxa"/>
            <w:right w:w="108" w:type="dxa"/>
          </w:tblCellMar>
          <w:tblLook w:val="01E0"/>
        </w:tblPrEx>
        <w:trPr>
          <w:trHeight w:val="545"/>
        </w:trPr>
        <w:tc>
          <w:tcPr>
            <w:tcW w:w="1223" w:type="pct"/>
            <w:tcBorders>
              <w:top w:val="single" w:sz="4" w:space="0" w:color="auto"/>
              <w:bottom w:val="single" w:sz="4" w:space="0" w:color="auto"/>
            </w:tcBorders>
          </w:tcPr>
          <w:p w:rsidR="000D35BF" w:rsidRPr="00AA2D3E" w:rsidP="00C64E4F">
            <w:pPr>
              <w:pStyle w:val="TableText"/>
              <w:spacing w:before="60" w:after="60"/>
              <w:ind w:right="-6"/>
              <w:rPr>
                <w:rStyle w:val="DefaultParagraphFont"/>
                <w:rFonts w:eastAsia="Times New Roman" w:asciiTheme="minorHAnsi" w:hAnsiTheme="minorHAnsi" w:cstheme="minorHAnsi"/>
                <w:color w:val="000000"/>
                <w:sz w:val="19"/>
                <w:szCs w:val="22"/>
                <w:lang w:val="en-GB" w:eastAsia="en-AU" w:bidi="ar-SA"/>
              </w:rPr>
            </w:pPr>
            <w:r w:rsidRPr="00AA2D3E">
              <w:rPr>
                <w:rFonts w:asciiTheme="minorHAnsi" w:eastAsiaTheme="minorHAnsi" w:hAnsiTheme="minorHAnsi" w:cstheme="minorHAnsi"/>
                <w:color w:val="000000"/>
                <w:sz w:val="18"/>
                <w:szCs w:val="22"/>
                <w:lang w:val="en-AU" w:eastAsia="en-AU" w:bidi="ar-SA"/>
              </w:rPr>
              <w:t>Nervous system</w:t>
            </w:r>
          </w:p>
        </w:tc>
        <w:tc>
          <w:tcPr>
            <w:tcW w:w="3777" w:type="pct"/>
            <w:tcBorders>
              <w:top w:val="single" w:sz="4" w:space="0" w:color="auto"/>
              <w:bottom w:val="single" w:sz="4" w:space="0" w:color="auto"/>
            </w:tcBorders>
          </w:tcPr>
          <w:p w:rsidR="000D35BF" w:rsidRPr="00AA2D3E" w:rsidP="00C64E4F">
            <w:pPr>
              <w:pStyle w:val="TableBullet1"/>
              <w:numPr>
                <w:numId w:val="8"/>
              </w:numPr>
              <w:spacing w:before="60" w:after="60" w:line="240" w:lineRule="auto"/>
              <w:ind w:left="720" w:right="-6" w:hanging="360"/>
              <w:rPr>
                <w:rStyle w:val="DefaultParagraphFont"/>
                <w:rFonts w:asciiTheme="minorHAnsi" w:eastAsiaTheme="minorHAnsi" w:hAnsiTheme="minorHAnsi" w:cstheme="minorHAnsi"/>
                <w:sz w:val="19"/>
                <w:szCs w:val="22"/>
                <w:lang w:val="en-AU" w:eastAsia="en-AU" w:bidi="ar-SA"/>
              </w:rPr>
            </w:pPr>
            <w:r w:rsidRPr="00AA2D3E">
              <w:rPr>
                <w:rFonts w:asciiTheme="minorHAnsi" w:eastAsiaTheme="minorHAnsi" w:hAnsiTheme="minorHAnsi" w:cstheme="minorHAnsi"/>
                <w:sz w:val="18"/>
                <w:szCs w:val="22"/>
                <w:lang w:val="en-AU" w:eastAsia="en-AU" w:bidi="ar-SA"/>
              </w:rPr>
              <w:t>Nervous symptoms such as head tilt, circling, incoordination</w:t>
            </w:r>
          </w:p>
          <w:p w:rsidR="000D35BF" w:rsidRPr="00AA2D3E" w:rsidP="00C64E4F">
            <w:pPr>
              <w:pStyle w:val="TableBullet1"/>
              <w:numPr>
                <w:numId w:val="8"/>
              </w:numPr>
              <w:spacing w:before="60" w:after="60" w:line="240" w:lineRule="auto"/>
              <w:ind w:left="720" w:right="-6" w:hanging="360"/>
              <w:rPr>
                <w:rStyle w:val="DefaultParagraphFont"/>
                <w:rFonts w:asciiTheme="minorHAnsi" w:eastAsiaTheme="minorHAnsi" w:hAnsiTheme="minorHAnsi" w:cstheme="minorHAnsi"/>
                <w:sz w:val="19"/>
                <w:szCs w:val="22"/>
                <w:lang w:val="en-AU" w:eastAsia="en-AU" w:bidi="ar-SA"/>
              </w:rPr>
            </w:pPr>
            <w:r w:rsidRPr="00AA2D3E">
              <w:rPr>
                <w:rFonts w:asciiTheme="minorHAnsi" w:eastAsiaTheme="minorHAnsi" w:hAnsiTheme="minorHAnsi" w:cstheme="minorHAnsi"/>
                <w:sz w:val="18"/>
                <w:szCs w:val="22"/>
                <w:lang w:val="en-AU" w:eastAsia="en-AU" w:bidi="ar-SA"/>
              </w:rPr>
              <w:t>Abnormal or aggressive behaviour/intractable or violent</w:t>
            </w:r>
          </w:p>
        </w:tc>
      </w:tr>
      <w:tr w:rsidTr="00C64E4F">
        <w:tblPrEx>
          <w:tblW w:w="5000" w:type="pct"/>
          <w:tblInd w:w="0" w:type="dxa"/>
          <w:tblCellMar>
            <w:top w:w="0" w:type="dxa"/>
            <w:left w:w="108" w:type="dxa"/>
            <w:bottom w:w="0" w:type="dxa"/>
            <w:right w:w="108" w:type="dxa"/>
          </w:tblCellMar>
          <w:tblLook w:val="01E0"/>
        </w:tblPrEx>
        <w:trPr>
          <w:trHeight w:val="344"/>
        </w:trPr>
        <w:tc>
          <w:tcPr>
            <w:tcW w:w="1223" w:type="pct"/>
            <w:tcBorders>
              <w:top w:val="single" w:sz="4" w:space="0" w:color="auto"/>
              <w:bottom w:val="single" w:sz="4" w:space="0" w:color="auto"/>
            </w:tcBorders>
          </w:tcPr>
          <w:p w:rsidR="000D35BF" w:rsidRPr="00AA2D3E" w:rsidP="00C64E4F">
            <w:pPr>
              <w:pStyle w:val="TableText"/>
              <w:spacing w:before="60" w:after="60"/>
              <w:ind w:right="-6"/>
              <w:rPr>
                <w:rStyle w:val="DefaultParagraphFont"/>
                <w:rFonts w:eastAsia="Times New Roman" w:asciiTheme="minorHAnsi" w:hAnsiTheme="minorHAnsi" w:cstheme="minorHAnsi"/>
                <w:color w:val="000000"/>
                <w:sz w:val="19"/>
                <w:szCs w:val="22"/>
                <w:lang w:val="en-GB" w:eastAsia="en-AU" w:bidi="ar-SA"/>
              </w:rPr>
            </w:pPr>
            <w:r w:rsidRPr="00AA2D3E">
              <w:rPr>
                <w:rFonts w:asciiTheme="minorHAnsi" w:eastAsiaTheme="minorHAnsi" w:hAnsiTheme="minorHAnsi" w:cstheme="minorHAnsi"/>
                <w:color w:val="000000"/>
                <w:sz w:val="18"/>
                <w:szCs w:val="22"/>
                <w:lang w:val="en-AU" w:eastAsia="en-US" w:bidi="ar-SA"/>
              </w:rPr>
              <w:t>External/skin</w:t>
            </w:r>
          </w:p>
        </w:tc>
        <w:tc>
          <w:tcPr>
            <w:tcW w:w="3777" w:type="pct"/>
            <w:tcBorders>
              <w:top w:val="single" w:sz="4" w:space="0" w:color="auto"/>
              <w:bottom w:val="single" w:sz="4" w:space="0" w:color="auto"/>
            </w:tcBorders>
          </w:tcPr>
          <w:p w:rsidR="000D35BF" w:rsidRPr="00AA2D3E" w:rsidP="00C64E4F">
            <w:pPr>
              <w:pStyle w:val="TableBullet1"/>
              <w:numPr>
                <w:numId w:val="8"/>
              </w:numPr>
              <w:spacing w:before="60" w:after="60" w:line="240" w:lineRule="auto"/>
              <w:ind w:left="720" w:right="-6" w:hanging="360"/>
              <w:rPr>
                <w:rStyle w:val="DefaultParagraphFont"/>
                <w:rFonts w:asciiTheme="minorHAnsi" w:eastAsiaTheme="minorHAnsi" w:hAnsiTheme="minorHAnsi" w:cstheme="minorHAnsi"/>
                <w:sz w:val="19"/>
                <w:szCs w:val="22"/>
                <w:lang w:val="en-AU" w:eastAsia="en-AU" w:bidi="ar-SA"/>
              </w:rPr>
            </w:pPr>
            <w:r w:rsidRPr="00AA2D3E">
              <w:rPr>
                <w:rFonts w:asciiTheme="minorHAnsi" w:eastAsiaTheme="minorHAnsi" w:hAnsiTheme="minorHAnsi" w:cstheme="minorHAnsi"/>
                <w:sz w:val="18"/>
                <w:szCs w:val="22"/>
                <w:lang w:val="en-AU" w:eastAsia="en-AU" w:bidi="ar-SA"/>
              </w:rPr>
              <w:t xml:space="preserve">Generalised papillomatosis or </w:t>
            </w:r>
            <w:r w:rsidRPr="00AA2D3E">
              <w:rPr>
                <w:rFonts w:asciiTheme="minorHAnsi" w:eastAsiaTheme="minorHAnsi" w:hAnsiTheme="minorHAnsi" w:cstheme="minorHAnsi"/>
                <w:sz w:val="18"/>
                <w:szCs w:val="22"/>
                <w:lang w:val="en-AU" w:eastAsia="en-AU" w:bidi="ar-SA"/>
              </w:rPr>
              <w:t>generalised ringworm or dermatophilosis</w:t>
            </w:r>
          </w:p>
          <w:p w:rsidR="000D35BF" w:rsidRPr="00AA2D3E" w:rsidP="00C64E4F">
            <w:pPr>
              <w:pStyle w:val="TableBullet1"/>
              <w:numPr>
                <w:numId w:val="8"/>
              </w:numPr>
              <w:spacing w:before="60" w:after="60" w:line="240" w:lineRule="auto"/>
              <w:ind w:left="720" w:right="-6" w:hanging="360"/>
              <w:rPr>
                <w:rStyle w:val="DefaultParagraphFont"/>
                <w:rFonts w:asciiTheme="minorHAnsi" w:eastAsiaTheme="minorHAnsi" w:hAnsiTheme="minorHAnsi" w:cstheme="minorHAnsi"/>
                <w:sz w:val="19"/>
                <w:szCs w:val="22"/>
                <w:lang w:val="en-AU" w:eastAsia="en-US" w:bidi="ar-SA"/>
              </w:rPr>
            </w:pPr>
            <w:r w:rsidRPr="00AA2D3E">
              <w:rPr>
                <w:rFonts w:asciiTheme="minorHAnsi" w:eastAsiaTheme="minorHAnsi" w:hAnsiTheme="minorHAnsi" w:cstheme="minorHAnsi"/>
                <w:sz w:val="18"/>
                <w:szCs w:val="22"/>
                <w:lang w:val="en-US" w:eastAsia="en-US" w:bidi="ar-SA"/>
              </w:rPr>
              <w:t>Generalised and extensive buffalo fly lesions</w:t>
            </w:r>
          </w:p>
          <w:p w:rsidR="000D35BF" w:rsidRPr="00AA2D3E" w:rsidP="00C64E4F">
            <w:pPr>
              <w:pStyle w:val="TableBullet1"/>
              <w:numPr>
                <w:numId w:val="8"/>
              </w:numPr>
              <w:spacing w:before="60" w:after="60" w:line="240" w:lineRule="auto"/>
              <w:ind w:left="720" w:right="-6" w:hanging="360"/>
              <w:rPr>
                <w:rStyle w:val="DefaultParagraphFont"/>
                <w:rFonts w:asciiTheme="minorHAnsi" w:eastAsiaTheme="minorHAnsi" w:hAnsiTheme="minorHAnsi" w:cstheme="minorHAnsi"/>
                <w:sz w:val="19"/>
                <w:szCs w:val="22"/>
                <w:lang w:val="en-AU" w:eastAsia="en-US" w:bidi="ar-SA"/>
              </w:rPr>
            </w:pPr>
            <w:r w:rsidRPr="00AA2D3E">
              <w:rPr>
                <w:rFonts w:asciiTheme="minorHAnsi" w:eastAsiaTheme="minorHAnsi" w:hAnsiTheme="minorHAnsi" w:cstheme="minorHAnsi"/>
                <w:sz w:val="18"/>
                <w:szCs w:val="22"/>
                <w:lang w:val="en-US" w:eastAsia="en-US" w:bidi="ar-SA"/>
              </w:rPr>
              <w:t>Generalised skin disease or infection</w:t>
            </w:r>
          </w:p>
          <w:p w:rsidR="000D35BF" w:rsidRPr="00AA2D3E" w:rsidP="00C64E4F">
            <w:pPr>
              <w:pStyle w:val="TableBullet1"/>
              <w:numPr>
                <w:numId w:val="8"/>
              </w:numPr>
              <w:spacing w:before="60" w:after="60" w:line="240" w:lineRule="auto"/>
              <w:ind w:left="720" w:right="-6" w:hanging="360"/>
              <w:rPr>
                <w:rStyle w:val="DefaultParagraphFont"/>
                <w:rFonts w:asciiTheme="minorHAnsi" w:eastAsiaTheme="minorHAnsi" w:hAnsiTheme="minorHAnsi" w:cstheme="minorHAnsi"/>
                <w:sz w:val="19"/>
                <w:szCs w:val="22"/>
                <w:lang w:val="en-AU" w:eastAsia="en-US" w:bidi="ar-SA"/>
              </w:rPr>
            </w:pPr>
            <w:r w:rsidRPr="00AA2D3E">
              <w:rPr>
                <w:rFonts w:asciiTheme="minorHAnsi" w:eastAsiaTheme="minorHAnsi" w:hAnsiTheme="minorHAnsi" w:cstheme="minorHAnsi"/>
                <w:sz w:val="18"/>
                <w:szCs w:val="22"/>
                <w:lang w:val="en-US" w:eastAsia="en-US" w:bidi="ar-SA"/>
              </w:rPr>
              <w:t>External skin cancer</w:t>
            </w:r>
          </w:p>
          <w:p w:rsidR="000D35BF" w:rsidRPr="00AA2D3E" w:rsidP="00C64E4F">
            <w:pPr>
              <w:pStyle w:val="TableBullet1"/>
              <w:numPr>
                <w:numId w:val="8"/>
              </w:numPr>
              <w:spacing w:before="60" w:after="60" w:line="240" w:lineRule="auto"/>
              <w:ind w:left="720" w:right="-6" w:hanging="360"/>
              <w:rPr>
                <w:rStyle w:val="DefaultParagraphFont"/>
                <w:rFonts w:asciiTheme="minorHAnsi" w:eastAsiaTheme="minorHAnsi" w:hAnsiTheme="minorHAnsi" w:cstheme="minorHAnsi"/>
                <w:sz w:val="19"/>
                <w:szCs w:val="22"/>
                <w:lang w:val="en-AU" w:eastAsia="en-US" w:bidi="ar-SA"/>
              </w:rPr>
            </w:pPr>
            <w:r w:rsidRPr="00AA2D3E">
              <w:rPr>
                <w:rFonts w:asciiTheme="minorHAnsi" w:eastAsiaTheme="minorHAnsi" w:hAnsiTheme="minorHAnsi" w:cstheme="minorHAnsi"/>
                <w:sz w:val="18"/>
                <w:szCs w:val="22"/>
                <w:lang w:val="en-US" w:eastAsia="en-US" w:bidi="ar-SA"/>
              </w:rPr>
              <w:t>Lacerations that penetrate the full thickness of the dermis or are likely to affect the health or welfare of the animal</w:t>
            </w:r>
          </w:p>
          <w:p w:rsidR="000D35BF" w:rsidRPr="00AA2D3E" w:rsidP="00C64E4F">
            <w:pPr>
              <w:pStyle w:val="TableBullet1"/>
              <w:numPr>
                <w:numId w:val="8"/>
              </w:numPr>
              <w:spacing w:before="60" w:after="60" w:line="240" w:lineRule="auto"/>
              <w:ind w:left="720" w:right="-6" w:hanging="360"/>
              <w:rPr>
                <w:rStyle w:val="DefaultParagraphFont"/>
                <w:rFonts w:asciiTheme="minorHAnsi" w:eastAsiaTheme="minorHAnsi" w:hAnsiTheme="minorHAnsi" w:cstheme="minorHAnsi"/>
                <w:sz w:val="19"/>
                <w:szCs w:val="22"/>
                <w:lang w:val="en-AU" w:eastAsia="en-US" w:bidi="ar-SA"/>
              </w:rPr>
            </w:pPr>
            <w:r w:rsidRPr="00AA2D3E">
              <w:rPr>
                <w:rFonts w:asciiTheme="minorHAnsi" w:eastAsiaTheme="minorHAnsi" w:hAnsiTheme="minorHAnsi" w:cstheme="minorHAnsi"/>
                <w:sz w:val="18"/>
                <w:szCs w:val="22"/>
                <w:lang w:val="en-US" w:eastAsia="en-US" w:bidi="ar-SA"/>
              </w:rPr>
              <w:t>Discharging wounds or abscesses</w:t>
            </w:r>
          </w:p>
          <w:p w:rsidR="000D35BF" w:rsidRPr="00AA2D3E" w:rsidP="00C64E4F">
            <w:pPr>
              <w:pStyle w:val="TableBullet1"/>
              <w:numPr>
                <w:numId w:val="8"/>
              </w:numPr>
              <w:spacing w:before="60" w:after="60" w:line="240" w:lineRule="auto"/>
              <w:ind w:left="720" w:right="-6" w:hanging="360"/>
              <w:rPr>
                <w:rStyle w:val="DefaultParagraphFont"/>
                <w:rFonts w:asciiTheme="minorHAnsi" w:eastAsiaTheme="minorHAnsi" w:hAnsiTheme="minorHAnsi" w:cstheme="minorHAnsi"/>
                <w:sz w:val="19"/>
                <w:szCs w:val="22"/>
                <w:lang w:val="en-AU" w:eastAsia="en-US" w:bidi="ar-SA"/>
              </w:rPr>
            </w:pPr>
            <w:r w:rsidRPr="00AA2D3E">
              <w:rPr>
                <w:rFonts w:asciiTheme="minorHAnsi" w:eastAsiaTheme="minorHAnsi" w:hAnsiTheme="minorHAnsi" w:cstheme="minorHAnsi"/>
                <w:sz w:val="18"/>
                <w:szCs w:val="22"/>
                <w:lang w:val="en-US" w:eastAsia="en-US" w:bidi="ar-SA"/>
              </w:rPr>
              <w:t>Cutaneous myiasis (flystrike)</w:t>
            </w:r>
          </w:p>
          <w:p w:rsidR="000D35BF" w:rsidRPr="00AA2D3E" w:rsidP="00C64E4F">
            <w:pPr>
              <w:pStyle w:val="TableBullet1"/>
              <w:numPr>
                <w:numId w:val="8"/>
              </w:numPr>
              <w:spacing w:before="60" w:after="60" w:line="240" w:lineRule="auto"/>
              <w:ind w:left="720" w:right="-6" w:hanging="360"/>
              <w:rPr>
                <w:rStyle w:val="DefaultParagraphFont"/>
                <w:rFonts w:asciiTheme="minorHAnsi" w:eastAsiaTheme="minorHAnsi" w:hAnsiTheme="minorHAnsi" w:cstheme="minorHAnsi"/>
                <w:sz w:val="19"/>
                <w:szCs w:val="22"/>
                <w:lang w:val="en-AU" w:eastAsia="en-US" w:bidi="ar-SA"/>
              </w:rPr>
            </w:pPr>
            <w:r w:rsidRPr="00AA2D3E">
              <w:rPr>
                <w:rFonts w:asciiTheme="minorHAnsi" w:eastAsiaTheme="minorHAnsi" w:hAnsiTheme="minorHAnsi" w:cstheme="minorHAnsi"/>
                <w:sz w:val="18"/>
                <w:szCs w:val="22"/>
                <w:lang w:val="en-US" w:eastAsia="en-US" w:bidi="ar-SA"/>
              </w:rPr>
              <w:t>Balanitis (pizzle rot in sheep)</w:t>
            </w:r>
          </w:p>
          <w:p w:rsidR="000D35BF" w:rsidRPr="00AA2D3E" w:rsidP="00C64E4F">
            <w:pPr>
              <w:pStyle w:val="TableBullet1"/>
              <w:numPr>
                <w:numId w:val="8"/>
              </w:numPr>
              <w:spacing w:before="60" w:after="60" w:line="240" w:lineRule="auto"/>
              <w:ind w:left="720" w:right="-6" w:hanging="360"/>
              <w:rPr>
                <w:rStyle w:val="DefaultParagraphFont"/>
                <w:rFonts w:asciiTheme="minorHAnsi" w:eastAsiaTheme="minorHAnsi" w:hAnsiTheme="minorHAnsi" w:cstheme="minorHAnsi"/>
                <w:sz w:val="19"/>
                <w:szCs w:val="22"/>
                <w:lang w:val="en-AU" w:eastAsia="en-US" w:bidi="ar-SA"/>
              </w:rPr>
            </w:pPr>
            <w:r w:rsidRPr="00AA2D3E">
              <w:rPr>
                <w:rFonts w:asciiTheme="minorHAnsi" w:eastAsiaTheme="minorHAnsi" w:hAnsiTheme="minorHAnsi" w:cstheme="minorHAnsi"/>
                <w:sz w:val="18"/>
                <w:szCs w:val="22"/>
                <w:lang w:val="en-US" w:eastAsia="en-US" w:bidi="ar-SA"/>
              </w:rPr>
              <w:t>Blood/abnormal discharge from reproductive tract (vulva/prepuce)</w:t>
            </w:r>
          </w:p>
          <w:p w:rsidR="000D35BF" w:rsidRPr="00AA2D3E" w:rsidP="00C64E4F">
            <w:pPr>
              <w:pStyle w:val="TableBullet1"/>
              <w:numPr>
                <w:numId w:val="8"/>
              </w:numPr>
              <w:spacing w:before="60" w:after="60" w:line="240" w:lineRule="auto"/>
              <w:ind w:left="720" w:right="-6" w:hanging="360"/>
              <w:rPr>
                <w:rStyle w:val="DefaultParagraphFont"/>
                <w:rFonts w:asciiTheme="minorHAnsi" w:eastAsiaTheme="minorHAnsi" w:hAnsiTheme="minorHAnsi" w:cstheme="minorHAnsi"/>
                <w:sz w:val="19"/>
                <w:szCs w:val="22"/>
                <w:lang w:val="en-AU" w:eastAsia="en-US" w:bidi="ar-SA"/>
              </w:rPr>
            </w:pPr>
            <w:r w:rsidRPr="00AA2D3E">
              <w:rPr>
                <w:rFonts w:asciiTheme="minorHAnsi" w:eastAsiaTheme="minorHAnsi" w:hAnsiTheme="minorHAnsi" w:cstheme="minorHAnsi"/>
                <w:sz w:val="18"/>
                <w:szCs w:val="22"/>
                <w:lang w:val="en-US" w:eastAsia="en-US" w:bidi="ar-SA"/>
              </w:rPr>
              <w:t>Visible external parasites</w:t>
            </w:r>
          </w:p>
        </w:tc>
      </w:tr>
      <w:tr w:rsidTr="00C64E4F">
        <w:tblPrEx>
          <w:tblW w:w="5000" w:type="pct"/>
          <w:tblInd w:w="0" w:type="dxa"/>
          <w:tblCellMar>
            <w:top w:w="0" w:type="dxa"/>
            <w:left w:w="108" w:type="dxa"/>
            <w:bottom w:w="0" w:type="dxa"/>
            <w:right w:w="108" w:type="dxa"/>
          </w:tblCellMar>
          <w:tblLook w:val="01E0"/>
        </w:tblPrEx>
        <w:trPr>
          <w:trHeight w:val="402"/>
        </w:trPr>
        <w:tc>
          <w:tcPr>
            <w:tcW w:w="1223" w:type="pct"/>
            <w:tcBorders>
              <w:top w:val="single" w:sz="4" w:space="0" w:color="auto"/>
              <w:bottom w:val="single" w:sz="4" w:space="0" w:color="auto"/>
            </w:tcBorders>
          </w:tcPr>
          <w:p w:rsidR="000D35BF" w:rsidRPr="00AA2D3E" w:rsidP="00C64E4F">
            <w:pPr>
              <w:pStyle w:val="TableText"/>
              <w:spacing w:before="60" w:after="60"/>
              <w:ind w:right="-6"/>
              <w:rPr>
                <w:rStyle w:val="DefaultParagraphFont"/>
                <w:rFonts w:eastAsia="Times New Roman" w:asciiTheme="minorHAnsi" w:hAnsiTheme="minorHAnsi" w:cstheme="minorHAnsi"/>
                <w:color w:val="000000"/>
                <w:sz w:val="19"/>
                <w:szCs w:val="22"/>
                <w:lang w:val="en-GB" w:eastAsia="en-AU" w:bidi="ar-SA"/>
              </w:rPr>
            </w:pPr>
            <w:r w:rsidRPr="00AA2D3E">
              <w:rPr>
                <w:rFonts w:asciiTheme="minorHAnsi" w:eastAsiaTheme="minorHAnsi" w:hAnsiTheme="minorHAnsi" w:cstheme="minorHAnsi"/>
                <w:color w:val="000000"/>
                <w:sz w:val="18"/>
                <w:szCs w:val="22"/>
                <w:lang w:val="en-AU" w:eastAsia="en-US" w:bidi="ar-SA"/>
              </w:rPr>
              <w:t>Head</w:t>
            </w:r>
          </w:p>
        </w:tc>
        <w:tc>
          <w:tcPr>
            <w:tcW w:w="3777" w:type="pct"/>
            <w:tcBorders>
              <w:top w:val="single" w:sz="4" w:space="0" w:color="auto"/>
              <w:bottom w:val="single" w:sz="4" w:space="0" w:color="auto"/>
            </w:tcBorders>
          </w:tcPr>
          <w:p w:rsidR="000D35BF" w:rsidRPr="00AA2D3E" w:rsidP="00C64E4F">
            <w:pPr>
              <w:pStyle w:val="TableBullet1"/>
              <w:numPr>
                <w:numId w:val="8"/>
              </w:numPr>
              <w:spacing w:before="60" w:after="60" w:line="240" w:lineRule="auto"/>
              <w:ind w:left="720" w:right="-6" w:hanging="360"/>
              <w:rPr>
                <w:rStyle w:val="DefaultParagraphFont"/>
                <w:rFonts w:asciiTheme="minorHAnsi" w:eastAsiaTheme="minorHAnsi" w:hAnsiTheme="minorHAnsi" w:cstheme="minorHAnsi"/>
                <w:sz w:val="19"/>
                <w:szCs w:val="22"/>
                <w:lang w:val="en-AU" w:eastAsia="en-AU" w:bidi="ar-SA"/>
              </w:rPr>
            </w:pPr>
            <w:r w:rsidRPr="00AA2D3E">
              <w:rPr>
                <w:rFonts w:asciiTheme="minorHAnsi" w:eastAsiaTheme="minorHAnsi" w:hAnsiTheme="minorHAnsi" w:cstheme="minorHAnsi"/>
                <w:sz w:val="18"/>
                <w:szCs w:val="22"/>
                <w:lang w:val="en-AU" w:eastAsia="en-AU" w:bidi="ar-SA"/>
              </w:rPr>
              <w:t>Blindness in 1 or both eyes</w:t>
            </w:r>
          </w:p>
          <w:p w:rsidR="000D35BF" w:rsidRPr="00AA2D3E" w:rsidP="00C64E4F">
            <w:pPr>
              <w:pStyle w:val="TableBullet1"/>
              <w:numPr>
                <w:numId w:val="8"/>
              </w:numPr>
              <w:spacing w:before="60" w:after="60" w:line="240" w:lineRule="auto"/>
              <w:ind w:left="720" w:right="-6" w:hanging="360"/>
              <w:rPr>
                <w:rStyle w:val="DefaultParagraphFont"/>
                <w:rFonts w:asciiTheme="minorHAnsi" w:eastAsiaTheme="minorHAnsi" w:hAnsiTheme="minorHAnsi" w:cstheme="minorHAnsi"/>
                <w:sz w:val="19"/>
                <w:szCs w:val="22"/>
                <w:lang w:val="en-AU" w:eastAsia="en-US" w:bidi="ar-SA"/>
              </w:rPr>
            </w:pPr>
            <w:r w:rsidRPr="00AA2D3E">
              <w:rPr>
                <w:rFonts w:asciiTheme="minorHAnsi" w:eastAsiaTheme="minorHAnsi" w:hAnsiTheme="minorHAnsi" w:cstheme="minorHAnsi"/>
                <w:sz w:val="18"/>
                <w:szCs w:val="22"/>
                <w:lang w:val="en-US" w:eastAsia="en-US" w:bidi="ar-SA"/>
              </w:rPr>
              <w:t>Cancer eye</w:t>
            </w:r>
          </w:p>
          <w:p w:rsidR="000D35BF" w:rsidRPr="00AA2D3E" w:rsidP="00C64E4F">
            <w:pPr>
              <w:pStyle w:val="TableBullet1"/>
              <w:numPr>
                <w:numId w:val="8"/>
              </w:numPr>
              <w:spacing w:before="60" w:after="60" w:line="240" w:lineRule="auto"/>
              <w:ind w:left="720" w:right="-6" w:hanging="360"/>
              <w:rPr>
                <w:rStyle w:val="DefaultParagraphFont"/>
                <w:rFonts w:asciiTheme="minorHAnsi" w:eastAsiaTheme="minorHAnsi" w:hAnsiTheme="minorHAnsi" w:cstheme="minorHAnsi"/>
                <w:sz w:val="19"/>
                <w:szCs w:val="22"/>
                <w:lang w:val="en-AU" w:eastAsia="en-US" w:bidi="ar-SA"/>
              </w:rPr>
            </w:pPr>
            <w:r w:rsidRPr="00AA2D3E">
              <w:rPr>
                <w:rFonts w:asciiTheme="minorHAnsi" w:eastAsiaTheme="minorHAnsi" w:hAnsiTheme="minorHAnsi" w:cstheme="minorHAnsi"/>
                <w:sz w:val="18"/>
                <w:szCs w:val="22"/>
                <w:lang w:val="en-US" w:eastAsia="en-US" w:bidi="ar-SA"/>
              </w:rPr>
              <w:t>Keratoconjunctivitis (pink eye)</w:t>
            </w:r>
          </w:p>
          <w:p w:rsidR="000D35BF" w:rsidRPr="00AA2D3E" w:rsidP="00C64E4F">
            <w:pPr>
              <w:pStyle w:val="TableBullet1"/>
              <w:numPr>
                <w:numId w:val="8"/>
              </w:numPr>
              <w:spacing w:before="60" w:after="60" w:line="240" w:lineRule="auto"/>
              <w:ind w:left="720" w:right="-6" w:hanging="360"/>
              <w:rPr>
                <w:rStyle w:val="DefaultParagraphFont"/>
                <w:rFonts w:asciiTheme="minorHAnsi" w:eastAsiaTheme="minorHAnsi" w:hAnsiTheme="minorHAnsi" w:cstheme="minorHAnsi"/>
                <w:sz w:val="19"/>
                <w:szCs w:val="22"/>
                <w:lang w:val="en-AU" w:eastAsia="en-US" w:bidi="ar-SA"/>
              </w:rPr>
            </w:pPr>
            <w:r w:rsidRPr="00AA2D3E">
              <w:rPr>
                <w:rFonts w:asciiTheme="minorHAnsi" w:eastAsiaTheme="minorHAnsi" w:hAnsiTheme="minorHAnsi" w:cstheme="minorHAnsi"/>
                <w:sz w:val="18"/>
                <w:szCs w:val="22"/>
                <w:lang w:val="en-US" w:eastAsia="en-US" w:bidi="ar-SA"/>
              </w:rPr>
              <w:t>Excessive salivation</w:t>
            </w:r>
          </w:p>
          <w:p w:rsidR="000D35BF" w:rsidRPr="00AA2D3E" w:rsidP="00C64E4F">
            <w:pPr>
              <w:pStyle w:val="TableBullet1"/>
              <w:numPr>
                <w:numId w:val="8"/>
              </w:numPr>
              <w:spacing w:before="60" w:after="60" w:line="240" w:lineRule="auto"/>
              <w:ind w:left="720" w:right="-6" w:hanging="360"/>
              <w:rPr>
                <w:rStyle w:val="DefaultParagraphFont"/>
                <w:rFonts w:asciiTheme="minorHAnsi" w:eastAsiaTheme="minorHAnsi" w:hAnsiTheme="minorHAnsi" w:cstheme="minorHAnsi"/>
                <w:sz w:val="19"/>
                <w:szCs w:val="22"/>
                <w:lang w:val="en-AU" w:eastAsia="en-US" w:bidi="ar-SA"/>
              </w:rPr>
            </w:pPr>
            <w:r w:rsidRPr="00AA2D3E">
              <w:rPr>
                <w:rFonts w:asciiTheme="minorHAnsi" w:eastAsiaTheme="minorHAnsi" w:hAnsiTheme="minorHAnsi" w:cstheme="minorHAnsi"/>
                <w:sz w:val="18"/>
                <w:szCs w:val="22"/>
                <w:lang w:val="en-US" w:eastAsia="en-US" w:bidi="ar-SA"/>
              </w:rPr>
              <w:t>Nasal discharge consistent with signs of a contagious or infectious disease</w:t>
            </w:r>
          </w:p>
          <w:p w:rsidR="000D35BF" w:rsidRPr="00AA2D3E" w:rsidP="00C64E4F">
            <w:pPr>
              <w:pStyle w:val="TableBullet1"/>
              <w:numPr>
                <w:numId w:val="8"/>
              </w:numPr>
              <w:spacing w:before="60" w:after="60" w:line="240" w:lineRule="auto"/>
              <w:ind w:left="720" w:right="-6" w:hanging="360"/>
              <w:rPr>
                <w:rStyle w:val="DefaultParagraphFont"/>
                <w:rFonts w:asciiTheme="minorHAnsi" w:eastAsiaTheme="minorHAnsi" w:hAnsiTheme="minorHAnsi" w:cstheme="minorHAnsi"/>
                <w:sz w:val="19"/>
                <w:szCs w:val="22"/>
                <w:lang w:val="en-AU" w:eastAsia="en-US" w:bidi="ar-SA"/>
              </w:rPr>
            </w:pPr>
            <w:r w:rsidRPr="00AA2D3E">
              <w:rPr>
                <w:rFonts w:asciiTheme="minorHAnsi" w:eastAsiaTheme="minorHAnsi" w:hAnsiTheme="minorHAnsi" w:cstheme="minorHAnsi"/>
                <w:sz w:val="18"/>
                <w:szCs w:val="22"/>
                <w:lang w:val="en-US" w:eastAsia="en-US" w:bidi="ar-SA"/>
              </w:rPr>
              <w:t>Coughing consistent with signs of a contagious or infectious disease</w:t>
            </w:r>
          </w:p>
          <w:p w:rsidR="000D35BF" w:rsidRPr="00AA2D3E" w:rsidP="00C64E4F">
            <w:pPr>
              <w:pStyle w:val="TableBullet1"/>
              <w:numPr>
                <w:numId w:val="8"/>
              </w:numPr>
              <w:spacing w:before="60" w:after="60" w:line="240" w:lineRule="auto"/>
              <w:ind w:left="720" w:right="-6" w:hanging="360"/>
              <w:rPr>
                <w:rStyle w:val="DefaultParagraphFont"/>
                <w:rFonts w:asciiTheme="minorHAnsi" w:eastAsiaTheme="minorHAnsi" w:hAnsiTheme="minorHAnsi" w:cstheme="minorHAnsi"/>
                <w:sz w:val="19"/>
                <w:szCs w:val="22"/>
                <w:lang w:val="en-AU" w:eastAsia="en-US" w:bidi="ar-SA"/>
              </w:rPr>
            </w:pPr>
            <w:r w:rsidRPr="00AA2D3E">
              <w:rPr>
                <w:rFonts w:asciiTheme="minorHAnsi" w:eastAsiaTheme="minorHAnsi" w:hAnsiTheme="minorHAnsi" w:cstheme="minorHAnsi"/>
                <w:sz w:val="18"/>
                <w:szCs w:val="22"/>
                <w:lang w:val="en-US" w:eastAsia="en-US" w:bidi="ar-SA"/>
              </w:rPr>
              <w:t>Respiratory distress or difficulty breathing</w:t>
            </w:r>
          </w:p>
          <w:p w:rsidR="000D35BF" w:rsidRPr="00CC1027" w:rsidP="00C64E4F">
            <w:pPr>
              <w:pStyle w:val="TableBullet1"/>
              <w:numPr>
                <w:numId w:val="8"/>
              </w:numPr>
              <w:spacing w:before="60" w:after="60" w:line="240" w:lineRule="auto"/>
              <w:ind w:left="720" w:right="-6" w:hanging="360"/>
              <w:rPr>
                <w:rStyle w:val="DefaultParagraphFont"/>
                <w:rFonts w:asciiTheme="minorHAnsi" w:eastAsiaTheme="minorHAnsi" w:hAnsiTheme="minorHAnsi" w:cstheme="minorHAnsi"/>
                <w:sz w:val="19"/>
                <w:szCs w:val="22"/>
                <w:lang w:val="en-AU" w:eastAsia="en-US" w:bidi="ar-SA"/>
              </w:rPr>
            </w:pPr>
            <w:r w:rsidRPr="00AA2D3E">
              <w:rPr>
                <w:rFonts w:asciiTheme="minorHAnsi" w:eastAsiaTheme="minorHAnsi" w:hAnsiTheme="minorHAnsi" w:cstheme="minorHAnsi"/>
                <w:sz w:val="18"/>
                <w:szCs w:val="22"/>
                <w:lang w:val="en-US" w:eastAsia="en-US" w:bidi="ar-SA"/>
              </w:rPr>
              <w:t>Sharp horns</w:t>
            </w:r>
          </w:p>
          <w:p w:rsidR="000D35BF" w:rsidRPr="00F80E35" w:rsidP="00C64E4F">
            <w:pPr>
              <w:pStyle w:val="TableBullet1"/>
              <w:numPr>
                <w:numId w:val="8"/>
              </w:numPr>
              <w:spacing w:before="60" w:after="60" w:line="240" w:lineRule="auto"/>
              <w:ind w:left="720" w:right="-6" w:hanging="360"/>
              <w:rPr>
                <w:rStyle w:val="DefaultParagraphFont"/>
                <w:rFonts w:asciiTheme="minorHAnsi" w:eastAsiaTheme="minorHAnsi" w:hAnsiTheme="minorHAnsi" w:cstheme="minorHAnsi"/>
                <w:sz w:val="19"/>
                <w:szCs w:val="22"/>
                <w:lang w:val="en-US" w:eastAsia="en-US" w:bidi="ar-SA"/>
              </w:rPr>
            </w:pPr>
            <w:r>
              <w:rPr>
                <w:rFonts w:asciiTheme="minorHAnsi" w:eastAsiaTheme="minorHAnsi" w:hAnsiTheme="minorHAnsi" w:cstheme="minorHAnsi"/>
                <w:sz w:val="18"/>
                <w:szCs w:val="22"/>
                <w:lang w:val="en-US" w:eastAsia="en-US" w:bidi="ar-SA"/>
              </w:rPr>
              <w:t>Horns</w:t>
            </w:r>
            <w:r w:rsidRPr="00F80E35">
              <w:rPr>
                <w:rFonts w:asciiTheme="minorHAnsi" w:eastAsiaTheme="minorHAnsi" w:hAnsiTheme="minorHAnsi" w:cstheme="minorHAnsi"/>
                <w:sz w:val="18"/>
                <w:szCs w:val="22"/>
                <w:lang w:val="en-US" w:eastAsia="en-US" w:bidi="ar-SA"/>
              </w:rPr>
              <w:t xml:space="preserve"> that </w:t>
            </w:r>
            <w:r>
              <w:rPr>
                <w:rFonts w:asciiTheme="minorHAnsi" w:eastAsiaTheme="minorHAnsi" w:hAnsiTheme="minorHAnsi" w:cstheme="minorHAnsi"/>
                <w:sz w:val="18"/>
                <w:szCs w:val="22"/>
                <w:lang w:val="en-US" w:eastAsia="en-US" w:bidi="ar-SA"/>
              </w:rPr>
              <w:t>c</w:t>
            </w:r>
            <w:r w:rsidRPr="00F80E35">
              <w:rPr>
                <w:rFonts w:asciiTheme="minorHAnsi" w:eastAsiaTheme="minorHAnsi" w:hAnsiTheme="minorHAnsi" w:cstheme="minorHAnsi"/>
                <w:sz w:val="18"/>
                <w:szCs w:val="22"/>
                <w:lang w:val="en-US" w:eastAsia="en-US" w:bidi="ar-SA"/>
              </w:rPr>
              <w:t xml:space="preserve">ould </w:t>
            </w:r>
            <w:r>
              <w:rPr>
                <w:rFonts w:asciiTheme="minorHAnsi" w:eastAsiaTheme="minorHAnsi" w:hAnsiTheme="minorHAnsi" w:cstheme="minorHAnsi"/>
                <w:sz w:val="18"/>
                <w:szCs w:val="22"/>
                <w:lang w:val="en-US" w:eastAsia="en-US" w:bidi="ar-SA"/>
              </w:rPr>
              <w:t>injure</w:t>
            </w:r>
            <w:r w:rsidRPr="00F80E35">
              <w:rPr>
                <w:rFonts w:asciiTheme="minorHAnsi" w:eastAsiaTheme="minorHAnsi" w:hAnsiTheme="minorHAnsi" w:cstheme="minorHAnsi"/>
                <w:sz w:val="18"/>
                <w:szCs w:val="22"/>
                <w:lang w:val="en-US" w:eastAsia="en-US" w:bidi="ar-SA"/>
              </w:rPr>
              <w:t xml:space="preserve"> </w:t>
            </w:r>
            <w:r>
              <w:rPr>
                <w:rFonts w:asciiTheme="minorHAnsi" w:eastAsiaTheme="minorHAnsi" w:hAnsiTheme="minorHAnsi" w:cstheme="minorHAnsi"/>
                <w:sz w:val="18"/>
                <w:szCs w:val="22"/>
                <w:lang w:val="en-US" w:eastAsia="en-US" w:bidi="ar-SA"/>
              </w:rPr>
              <w:t xml:space="preserve">the </w:t>
            </w:r>
            <w:r w:rsidRPr="00F80E35">
              <w:rPr>
                <w:rFonts w:asciiTheme="minorHAnsi" w:eastAsiaTheme="minorHAnsi" w:hAnsiTheme="minorHAnsi" w:cstheme="minorHAnsi"/>
                <w:sz w:val="18"/>
                <w:szCs w:val="22"/>
                <w:lang w:val="en-US" w:eastAsia="en-US" w:bidi="ar-SA"/>
              </w:rPr>
              <w:t>animal or other animals</w:t>
            </w:r>
          </w:p>
          <w:p w:rsidR="000D35BF" w:rsidRPr="00F80E35" w:rsidP="00C64E4F">
            <w:pPr>
              <w:pStyle w:val="TableBullet1"/>
              <w:numPr>
                <w:numId w:val="8"/>
              </w:numPr>
              <w:spacing w:before="60" w:after="60" w:line="240" w:lineRule="auto"/>
              <w:ind w:left="720" w:right="-6" w:hanging="360"/>
              <w:rPr>
                <w:rStyle w:val="DefaultParagraphFont"/>
                <w:rFonts w:asciiTheme="minorHAnsi" w:eastAsiaTheme="minorHAnsi" w:hAnsiTheme="minorHAnsi" w:cstheme="minorHAnsi"/>
                <w:sz w:val="19"/>
                <w:szCs w:val="22"/>
                <w:lang w:val="en-AU" w:eastAsia="en-US" w:bidi="ar-SA"/>
              </w:rPr>
            </w:pPr>
            <w:r w:rsidRPr="00F80E35">
              <w:rPr>
                <w:rFonts w:asciiTheme="minorHAnsi" w:eastAsiaTheme="minorHAnsi" w:hAnsiTheme="minorHAnsi" w:cstheme="minorHAnsi"/>
                <w:sz w:val="18"/>
                <w:szCs w:val="22"/>
                <w:lang w:val="en-US" w:eastAsia="en-US" w:bidi="ar-SA"/>
              </w:rPr>
              <w:t xml:space="preserve">Horns that </w:t>
            </w:r>
            <w:r>
              <w:rPr>
                <w:rFonts w:asciiTheme="minorHAnsi" w:eastAsiaTheme="minorHAnsi" w:hAnsiTheme="minorHAnsi" w:cstheme="minorHAnsi"/>
                <w:sz w:val="18"/>
                <w:szCs w:val="22"/>
                <w:lang w:val="en-US" w:eastAsia="en-US" w:bidi="ar-SA"/>
              </w:rPr>
              <w:t>c</w:t>
            </w:r>
            <w:r w:rsidRPr="00F80E35">
              <w:rPr>
                <w:rFonts w:asciiTheme="minorHAnsi" w:eastAsiaTheme="minorHAnsi" w:hAnsiTheme="minorHAnsi" w:cstheme="minorHAnsi"/>
                <w:sz w:val="18"/>
                <w:szCs w:val="22"/>
                <w:lang w:val="en-US" w:eastAsia="en-US" w:bidi="ar-SA"/>
              </w:rPr>
              <w:t>ould restrict access to feed or water</w:t>
            </w:r>
          </w:p>
          <w:p w:rsidR="000D35BF" w:rsidRPr="003E15CC" w:rsidP="00C64E4F">
            <w:pPr>
              <w:pStyle w:val="TableBullet1"/>
              <w:numPr>
                <w:numId w:val="8"/>
              </w:numPr>
              <w:spacing w:before="60" w:after="60" w:line="240" w:lineRule="auto"/>
              <w:ind w:left="720" w:right="-6" w:hanging="360"/>
              <w:rPr>
                <w:rStyle w:val="DefaultParagraphFont"/>
                <w:rFonts w:asciiTheme="minorHAnsi" w:eastAsiaTheme="minorHAnsi" w:hAnsiTheme="minorHAnsi" w:cstheme="minorHAnsi"/>
                <w:sz w:val="19"/>
                <w:szCs w:val="22"/>
                <w:lang w:val="en-AU" w:eastAsia="en-US" w:bidi="ar-SA"/>
              </w:rPr>
            </w:pPr>
            <w:r w:rsidRPr="00F80E35">
              <w:rPr>
                <w:rFonts w:asciiTheme="minorHAnsi" w:eastAsiaTheme="minorHAnsi" w:hAnsiTheme="minorHAnsi" w:cstheme="minorHAnsi"/>
                <w:sz w:val="18"/>
                <w:szCs w:val="22"/>
                <w:lang w:val="en-US" w:eastAsia="en-US" w:bidi="ar-SA"/>
              </w:rPr>
              <w:t>Bleeding and/or not fully healed horn stumps or broken antlers</w:t>
            </w:r>
          </w:p>
          <w:p w:rsidR="000D35BF" w:rsidRPr="003E15CC" w:rsidP="00C64E4F">
            <w:pPr>
              <w:pStyle w:val="TableBullet1"/>
              <w:numPr>
                <w:numId w:val="8"/>
              </w:numPr>
              <w:spacing w:before="60" w:after="60" w:line="240" w:lineRule="auto"/>
              <w:ind w:left="720" w:right="-6" w:hanging="360"/>
              <w:rPr>
                <w:rStyle w:val="DefaultParagraphFont"/>
                <w:rFonts w:asciiTheme="minorHAnsi" w:eastAsiaTheme="minorHAnsi" w:hAnsiTheme="minorHAnsi" w:cstheme="minorHAnsi"/>
                <w:sz w:val="19"/>
                <w:szCs w:val="22"/>
                <w:lang w:val="en-AU" w:eastAsia="en-US" w:bidi="ar-SA"/>
              </w:rPr>
            </w:pPr>
            <w:r w:rsidRPr="003E15CC">
              <w:rPr>
                <w:rFonts w:asciiTheme="minorHAnsi" w:eastAsiaTheme="minorHAnsi" w:hAnsiTheme="minorHAnsi" w:cstheme="minorHAnsi"/>
                <w:sz w:val="18"/>
                <w:szCs w:val="22"/>
                <w:lang w:val="en-US" w:eastAsia="en-US" w:bidi="ar-SA"/>
              </w:rPr>
              <w:t>For sheep, horns longer than 1 full curl*</w:t>
            </w:r>
          </w:p>
          <w:p w:rsidR="000D35BF" w:rsidRPr="003E15CC" w:rsidP="00C64E4F">
            <w:pPr>
              <w:pStyle w:val="TableBullet1"/>
              <w:numPr>
                <w:numId w:val="8"/>
              </w:numPr>
              <w:spacing w:before="60" w:after="60" w:line="240" w:lineRule="auto"/>
              <w:ind w:left="720" w:right="-6" w:hanging="360"/>
              <w:rPr>
                <w:rStyle w:val="DefaultParagraphFont"/>
                <w:rFonts w:asciiTheme="minorHAnsi" w:eastAsiaTheme="minorHAnsi" w:hAnsiTheme="minorHAnsi" w:cstheme="minorHAnsi"/>
                <w:sz w:val="19"/>
                <w:szCs w:val="22"/>
                <w:lang w:val="en-AU" w:eastAsia="en-US" w:bidi="ar-SA"/>
              </w:rPr>
            </w:pPr>
            <w:r w:rsidRPr="003E15CC">
              <w:rPr>
                <w:rFonts w:asciiTheme="minorHAnsi" w:eastAsiaTheme="minorHAnsi" w:hAnsiTheme="minorHAnsi" w:cstheme="minorHAnsi"/>
                <w:sz w:val="18"/>
                <w:szCs w:val="22"/>
                <w:lang w:val="en-US" w:eastAsia="en-US" w:bidi="ar-SA"/>
              </w:rPr>
              <w:t>For cattle, horns longer than 12cm**</w:t>
            </w:r>
          </w:p>
          <w:p w:rsidR="000D35BF" w:rsidRPr="00AA2D3E" w:rsidP="00C64E4F">
            <w:pPr>
              <w:pStyle w:val="TableBullet1"/>
              <w:numPr>
                <w:numId w:val="8"/>
              </w:numPr>
              <w:spacing w:before="60" w:after="60" w:line="240" w:lineRule="auto"/>
              <w:ind w:left="720" w:right="-6" w:hanging="360"/>
              <w:rPr>
                <w:rStyle w:val="DefaultParagraphFont"/>
                <w:rFonts w:asciiTheme="minorHAnsi" w:eastAsiaTheme="minorHAnsi" w:hAnsiTheme="minorHAnsi" w:cstheme="minorHAnsi"/>
                <w:sz w:val="19"/>
                <w:szCs w:val="22"/>
                <w:lang w:val="en-AU" w:eastAsia="en-US" w:bidi="ar-SA"/>
              </w:rPr>
            </w:pPr>
            <w:r w:rsidRPr="00AA2D3E">
              <w:rPr>
                <w:rFonts w:asciiTheme="minorHAnsi" w:eastAsiaTheme="minorHAnsi" w:hAnsiTheme="minorHAnsi" w:cstheme="minorHAnsi"/>
                <w:sz w:val="18"/>
                <w:szCs w:val="22"/>
                <w:lang w:val="en-US" w:eastAsia="en-US" w:bidi="ar-SA"/>
              </w:rPr>
              <w:t xml:space="preserve">Scabby </w:t>
            </w:r>
            <w:r w:rsidRPr="00AA2D3E">
              <w:rPr>
                <w:rFonts w:asciiTheme="minorHAnsi" w:eastAsiaTheme="minorHAnsi" w:hAnsiTheme="minorHAnsi" w:cstheme="minorHAnsi"/>
                <w:sz w:val="18"/>
                <w:szCs w:val="22"/>
                <w:lang w:val="en-US" w:eastAsia="en-US" w:bidi="ar-SA"/>
              </w:rPr>
              <w:t>mouth</w:t>
            </w:r>
          </w:p>
        </w:tc>
      </w:tr>
      <w:tr w:rsidTr="00C64E4F">
        <w:tblPrEx>
          <w:tblW w:w="5000" w:type="pct"/>
          <w:tblInd w:w="0" w:type="dxa"/>
          <w:tblCellMar>
            <w:top w:w="0" w:type="dxa"/>
            <w:left w:w="108" w:type="dxa"/>
            <w:bottom w:w="0" w:type="dxa"/>
            <w:right w:w="108" w:type="dxa"/>
          </w:tblCellMar>
          <w:tblLook w:val="01E0"/>
        </w:tblPrEx>
        <w:trPr>
          <w:trHeight w:val="846"/>
        </w:trPr>
        <w:tc>
          <w:tcPr>
            <w:tcW w:w="1223" w:type="pct"/>
            <w:tcBorders>
              <w:top w:val="single" w:sz="4" w:space="0" w:color="auto"/>
            </w:tcBorders>
          </w:tcPr>
          <w:p w:rsidR="000D35BF" w:rsidRPr="00DE70F9" w:rsidP="00C64E4F">
            <w:pPr>
              <w:pStyle w:val="TableText"/>
              <w:spacing w:before="60" w:after="60"/>
              <w:ind w:right="-6"/>
              <w:rPr>
                <w:rStyle w:val="DefaultParagraphFont"/>
                <w:rFonts w:eastAsia="Times New Roman" w:asciiTheme="minorHAnsi" w:hAnsiTheme="minorHAnsi" w:cs="Arial"/>
                <w:color w:val="000000"/>
                <w:sz w:val="19"/>
                <w:szCs w:val="22"/>
                <w:lang w:val="en-GB" w:eastAsia="en-AU" w:bidi="ar-SA"/>
              </w:rPr>
            </w:pPr>
            <w:r w:rsidRPr="00DE70F9">
              <w:rPr>
                <w:rFonts w:ascii="Cambria" w:hAnsi="Cambria" w:eastAsiaTheme="minorHAnsi" w:cstheme="minorBidi"/>
                <w:color w:val="000000"/>
                <w:sz w:val="18"/>
                <w:szCs w:val="22"/>
                <w:lang w:val="en-AU" w:eastAsia="en-US" w:bidi="ar-SA"/>
              </w:rPr>
              <w:t>Other</w:t>
            </w:r>
          </w:p>
        </w:tc>
        <w:tc>
          <w:tcPr>
            <w:tcW w:w="3777" w:type="pct"/>
            <w:tcBorders>
              <w:top w:val="single" w:sz="4" w:space="0" w:color="auto"/>
            </w:tcBorders>
          </w:tcPr>
          <w:p w:rsidR="000D35BF" w:rsidRPr="00AA2D3E" w:rsidP="00C64E4F">
            <w:pPr>
              <w:pStyle w:val="TableBullet1"/>
              <w:numPr>
                <w:numId w:val="8"/>
              </w:numPr>
              <w:spacing w:before="60" w:after="60" w:line="240" w:lineRule="auto"/>
              <w:ind w:left="720" w:right="-6" w:hanging="360"/>
              <w:rPr>
                <w:rStyle w:val="DefaultParagraphFont"/>
                <w:rFonts w:asciiTheme="minorHAnsi" w:eastAsiaTheme="minorHAnsi" w:hAnsiTheme="minorHAnsi" w:cstheme="minorHAnsi"/>
                <w:sz w:val="19"/>
                <w:szCs w:val="22"/>
                <w:lang w:val="en-AU" w:eastAsia="en-AU" w:bidi="ar-SA"/>
              </w:rPr>
            </w:pPr>
            <w:r w:rsidRPr="00AA2D3E">
              <w:rPr>
                <w:rFonts w:asciiTheme="minorHAnsi" w:eastAsiaTheme="minorHAnsi" w:hAnsiTheme="minorHAnsi" w:cstheme="minorHAnsi"/>
                <w:sz w:val="18"/>
                <w:szCs w:val="22"/>
                <w:lang w:val="en-AU" w:eastAsia="en-AU" w:bidi="ar-SA"/>
              </w:rPr>
              <w:t>Groups of animals with unusual mortalities</w:t>
            </w:r>
          </w:p>
          <w:p w:rsidR="000D35BF" w:rsidRPr="00AA2D3E" w:rsidP="00C64E4F">
            <w:pPr>
              <w:pStyle w:val="TableBullet1"/>
              <w:numPr>
                <w:numId w:val="8"/>
              </w:numPr>
              <w:spacing w:before="60" w:after="60" w:line="240" w:lineRule="auto"/>
              <w:ind w:left="720" w:right="-6" w:hanging="360"/>
              <w:rPr>
                <w:rStyle w:val="DefaultParagraphFont"/>
                <w:rFonts w:asciiTheme="minorHAnsi" w:eastAsiaTheme="minorHAnsi" w:hAnsiTheme="minorHAnsi" w:cstheme="minorHAnsi"/>
                <w:sz w:val="19"/>
                <w:szCs w:val="22"/>
                <w:lang w:val="en-AU" w:eastAsia="en-US" w:bidi="ar-SA"/>
              </w:rPr>
            </w:pPr>
            <w:r w:rsidRPr="00AA2D3E">
              <w:rPr>
                <w:rFonts w:asciiTheme="minorHAnsi" w:eastAsiaTheme="minorHAnsi" w:hAnsiTheme="minorHAnsi" w:cstheme="minorHAnsi"/>
                <w:sz w:val="18"/>
                <w:szCs w:val="22"/>
                <w:lang w:val="en-US" w:eastAsia="en-US" w:bidi="ar-SA"/>
              </w:rPr>
              <w:t xml:space="preserve">Disparities in sex, size, weight or age that could cause an issue with the health or welfare of the animals (redraft animals in this case) </w:t>
            </w:r>
          </w:p>
        </w:tc>
      </w:tr>
    </w:tbl>
    <w:p w:rsidR="000D35BF" w:rsidRPr="00555DAB" w:rsidP="000D35BF">
      <w:pPr>
        <w:pStyle w:val="FigureTableNoteSource"/>
      </w:pPr>
      <w:r w:rsidRPr="00555DAB">
        <w:t xml:space="preserve">* unless otherwise provided in a relevant management plan approved </w:t>
      </w:r>
      <w:r w:rsidR="00222DAF">
        <w:t xml:space="preserve">in writing </w:t>
      </w:r>
      <w:r w:rsidRPr="00555DAB">
        <w:t>by the department</w:t>
      </w:r>
    </w:p>
    <w:p w:rsidR="000D35BF" w:rsidP="000D35BF">
      <w:pPr>
        <w:pStyle w:val="FigureTableNoteSource"/>
      </w:pPr>
      <w:r w:rsidRPr="00555DAB">
        <w:t xml:space="preserve">** horns may be longer than 12cm if they are pointing downwards parallel to the face or unless otherwise provided in a relevant management plan approved </w:t>
      </w:r>
      <w:r w:rsidR="00222DAF">
        <w:t xml:space="preserve">in writing </w:t>
      </w:r>
      <w:r w:rsidRPr="00555DAB">
        <w:t>by the department</w:t>
      </w:r>
    </w:p>
    <w:p w:rsidR="000D35BF" w:rsidRPr="001C3F20" w:rsidP="001C3F20">
      <w:pPr>
        <w:rPr>
          <w:b/>
          <w:bCs/>
          <w:lang w:eastAsia="ja-JP"/>
        </w:rPr>
      </w:pPr>
      <w:r w:rsidRPr="001C3F20">
        <w:rPr>
          <w:b/>
          <w:bCs/>
          <w:lang w:eastAsia="ja-JP"/>
        </w:rPr>
        <w:t>Table 23 Rejection criteria for all species by air</w:t>
      </w:r>
    </w:p>
    <w:p w:rsidR="00047F84" w:rsidP="00047F84">
      <w:pPr>
        <w:pStyle w:val="FigureTableNoteSource"/>
      </w:pPr>
      <w:r>
        <w:t>NB: For some rejection criteria, management procedures may occur after sourcing so livestock meet eligibility criteria at the time of export.</w:t>
      </w:r>
    </w:p>
    <w:tbl>
      <w:tblPr>
        <w:tblW w:w="5000" w:type="pct"/>
        <w:tblInd w:w="0" w:type="dxa"/>
        <w:tblBorders>
          <w:top w:val="single" w:sz="4" w:space="0" w:color="auto"/>
          <w:bottom w:val="single" w:sz="4" w:space="0" w:color="auto"/>
        </w:tblBorders>
        <w:tblCellMar>
          <w:top w:w="0" w:type="dxa"/>
          <w:left w:w="108" w:type="dxa"/>
          <w:bottom w:w="0" w:type="dxa"/>
          <w:right w:w="108" w:type="dxa"/>
        </w:tblCellMar>
        <w:tblLook w:val="01E0"/>
      </w:tblPr>
      <w:tblGrid>
        <w:gridCol w:w="2302"/>
        <w:gridCol w:w="7110"/>
      </w:tblGrid>
      <w:tr w:rsidTr="00C64E4F">
        <w:tblPrEx>
          <w:tblW w:w="5000" w:type="pct"/>
          <w:tblInd w:w="0" w:type="dxa"/>
          <w:tblBorders>
            <w:top w:val="single" w:sz="4" w:space="0" w:color="auto"/>
            <w:bottom w:val="single" w:sz="4" w:space="0" w:color="auto"/>
          </w:tblBorders>
          <w:tblCellMar>
            <w:top w:w="0" w:type="dxa"/>
            <w:left w:w="108" w:type="dxa"/>
            <w:bottom w:w="0" w:type="dxa"/>
            <w:right w:w="108" w:type="dxa"/>
          </w:tblCellMar>
          <w:tblLook w:val="01E0"/>
        </w:tblPrEx>
        <w:trPr>
          <w:cantSplit/>
          <w:tblHeader/>
        </w:trPr>
        <w:tc>
          <w:tcPr>
            <w:tcW w:w="1223" w:type="pct"/>
            <w:tcBorders>
              <w:top w:val="single" w:sz="4" w:space="0" w:color="auto"/>
              <w:bottom w:val="single" w:sz="4" w:space="0" w:color="auto"/>
            </w:tcBorders>
          </w:tcPr>
          <w:p w:rsidR="000D35BF" w:rsidRPr="00BC51A1" w:rsidP="00C64E4F">
            <w:pPr>
              <w:pStyle w:val="TableHeading"/>
              <w:keepNext/>
              <w:spacing w:before="60" w:after="60" w:line="240" w:lineRule="auto"/>
              <w:rPr>
                <w:rStyle w:val="DefaultParagraphFont"/>
                <w:rFonts w:asciiTheme="minorHAnsi" w:eastAsiaTheme="minorHAnsi" w:hAnsiTheme="minorHAnsi" w:cstheme="minorHAnsi"/>
                <w:b/>
                <w:sz w:val="19"/>
                <w:szCs w:val="22"/>
                <w:lang w:val="en-AU" w:eastAsia="en-US" w:bidi="ar-SA"/>
              </w:rPr>
            </w:pPr>
            <w:bookmarkStart w:id="1" w:name="_Hlk136437152"/>
            <w:r w:rsidRPr="00BC51A1">
              <w:rPr>
                <w:rFonts w:asciiTheme="minorHAnsi" w:eastAsiaTheme="minorHAnsi" w:hAnsiTheme="minorHAnsi" w:cstheme="minorHAnsi"/>
                <w:b/>
                <w:sz w:val="18"/>
                <w:szCs w:val="22"/>
                <w:lang w:val="en-AU" w:eastAsia="en-US" w:bidi="ar-SA"/>
              </w:rPr>
              <w:t>Category</w:t>
            </w:r>
          </w:p>
        </w:tc>
        <w:tc>
          <w:tcPr>
            <w:tcW w:w="3777" w:type="pct"/>
            <w:tcBorders>
              <w:top w:val="single" w:sz="4" w:space="0" w:color="auto"/>
              <w:bottom w:val="single" w:sz="4" w:space="0" w:color="auto"/>
            </w:tcBorders>
          </w:tcPr>
          <w:p w:rsidR="000D35BF" w:rsidRPr="00BC51A1" w:rsidP="00C64E4F">
            <w:pPr>
              <w:pStyle w:val="TableHeading"/>
              <w:keepNext/>
              <w:spacing w:before="60" w:after="60" w:line="240" w:lineRule="auto"/>
              <w:rPr>
                <w:rStyle w:val="DefaultParagraphFont"/>
                <w:rFonts w:asciiTheme="minorHAnsi" w:eastAsiaTheme="minorHAnsi" w:hAnsiTheme="minorHAnsi" w:cstheme="minorHAnsi"/>
                <w:b/>
                <w:sz w:val="19"/>
                <w:szCs w:val="22"/>
                <w:lang w:val="en-AU" w:eastAsia="en-US" w:bidi="ar-SA"/>
              </w:rPr>
            </w:pPr>
            <w:r w:rsidRPr="00BC51A1">
              <w:rPr>
                <w:rFonts w:asciiTheme="minorHAnsi" w:eastAsiaTheme="minorHAnsi" w:hAnsiTheme="minorHAnsi" w:cstheme="minorHAnsi"/>
                <w:b/>
                <w:sz w:val="18"/>
                <w:szCs w:val="22"/>
                <w:lang w:val="en-AU" w:eastAsia="en-US" w:bidi="ar-SA"/>
              </w:rPr>
              <w:t>Rejection criteria</w:t>
            </w:r>
          </w:p>
        </w:tc>
      </w:tr>
      <w:tr w:rsidTr="00C64E4F">
        <w:tblPrEx>
          <w:tblW w:w="5000" w:type="pct"/>
          <w:tblInd w:w="0" w:type="dxa"/>
          <w:tblCellMar>
            <w:top w:w="0" w:type="dxa"/>
            <w:left w:w="108" w:type="dxa"/>
            <w:bottom w:w="0" w:type="dxa"/>
            <w:right w:w="108" w:type="dxa"/>
          </w:tblCellMar>
          <w:tblLook w:val="01E0"/>
        </w:tblPrEx>
        <w:trPr>
          <w:trHeight w:val="784"/>
        </w:trPr>
        <w:tc>
          <w:tcPr>
            <w:tcW w:w="1223" w:type="pct"/>
            <w:tcBorders>
              <w:top w:val="single" w:sz="4" w:space="0" w:color="auto"/>
            </w:tcBorders>
          </w:tcPr>
          <w:p w:rsidR="000D35BF" w:rsidRPr="00BC51A1" w:rsidP="00C64E4F">
            <w:pPr>
              <w:pStyle w:val="TableText"/>
              <w:spacing w:before="60" w:after="60"/>
              <w:rPr>
                <w:rStyle w:val="DefaultParagraphFont"/>
                <w:rFonts w:eastAsia="Times New Roman" w:asciiTheme="minorHAnsi" w:hAnsiTheme="minorHAnsi" w:cstheme="minorHAnsi"/>
                <w:color w:val="000000"/>
                <w:sz w:val="19"/>
                <w:szCs w:val="22"/>
                <w:lang w:val="en-GB" w:eastAsia="en-AU" w:bidi="ar-SA"/>
              </w:rPr>
            </w:pPr>
            <w:r w:rsidRPr="00BC51A1">
              <w:rPr>
                <w:rFonts w:asciiTheme="minorHAnsi" w:eastAsiaTheme="minorHAnsi" w:hAnsiTheme="minorHAnsi" w:cstheme="minorHAnsi"/>
                <w:color w:val="000000"/>
                <w:sz w:val="18"/>
                <w:szCs w:val="22"/>
                <w:lang w:val="en-AU" w:eastAsia="en-AU" w:bidi="ar-SA"/>
              </w:rPr>
              <w:t>General requirements</w:t>
            </w:r>
          </w:p>
        </w:tc>
        <w:tc>
          <w:tcPr>
            <w:tcW w:w="3777" w:type="pct"/>
            <w:tcBorders>
              <w:top w:val="single" w:sz="4" w:space="0" w:color="auto"/>
            </w:tcBorders>
          </w:tcPr>
          <w:p w:rsidR="000D35BF" w:rsidRPr="00BC51A1" w:rsidP="00C64E4F">
            <w:pPr>
              <w:pStyle w:val="TableBullet1"/>
              <w:numPr>
                <w:numId w:val="8"/>
              </w:numPr>
              <w:spacing w:before="60" w:after="60" w:line="240" w:lineRule="auto"/>
              <w:ind w:left="284" w:hanging="284"/>
              <w:rPr>
                <w:rStyle w:val="DefaultParagraphFont"/>
                <w:rFonts w:asciiTheme="minorHAnsi" w:eastAsiaTheme="minorHAnsi" w:hAnsiTheme="minorHAnsi" w:cstheme="minorHAnsi"/>
                <w:sz w:val="19"/>
                <w:szCs w:val="22"/>
                <w:lang w:val="en-AU" w:eastAsia="en-AU" w:bidi="ar-SA"/>
              </w:rPr>
            </w:pPr>
            <w:r w:rsidRPr="00BC51A1">
              <w:rPr>
                <w:rFonts w:asciiTheme="minorHAnsi" w:eastAsiaTheme="minorHAnsi" w:hAnsiTheme="minorHAnsi" w:cstheme="minorHAnsi"/>
                <w:sz w:val="18"/>
                <w:szCs w:val="22"/>
                <w:lang w:val="en-AU" w:eastAsia="en-AU" w:bidi="ar-SA"/>
              </w:rPr>
              <w:t>Failure to meet importing country requirements including sex or breed if specified</w:t>
            </w:r>
          </w:p>
          <w:p w:rsidR="000D35BF" w:rsidRPr="00BC51A1" w:rsidP="00C64E4F">
            <w:pPr>
              <w:pStyle w:val="TableBullet1"/>
              <w:numPr>
                <w:numId w:val="8"/>
              </w:numPr>
              <w:spacing w:before="60" w:after="60" w:line="240" w:lineRule="auto"/>
              <w:ind w:left="284" w:hanging="284"/>
              <w:rPr>
                <w:rStyle w:val="DefaultParagraphFont"/>
                <w:rFonts w:asciiTheme="minorHAnsi" w:eastAsiaTheme="minorHAnsi" w:hAnsiTheme="minorHAnsi" w:cstheme="minorHAnsi"/>
                <w:sz w:val="19"/>
                <w:szCs w:val="22"/>
                <w:lang w:val="en-AU" w:eastAsia="en-US" w:bidi="ar-SA"/>
              </w:rPr>
            </w:pPr>
            <w:r w:rsidRPr="00BC51A1">
              <w:rPr>
                <w:rFonts w:asciiTheme="minorHAnsi" w:eastAsiaTheme="minorHAnsi" w:hAnsiTheme="minorHAnsi" w:cstheme="minorHAnsi"/>
                <w:sz w:val="18"/>
                <w:szCs w:val="22"/>
                <w:lang w:val="en-US" w:eastAsia="en-US" w:bidi="ar-SA"/>
              </w:rPr>
              <w:t>Pregnancy status not confirmed as appropriate for export</w:t>
            </w:r>
          </w:p>
          <w:p w:rsidR="000D35BF" w:rsidRPr="00BC51A1" w:rsidP="00C64E4F">
            <w:pPr>
              <w:pStyle w:val="TableBullet1"/>
              <w:numPr>
                <w:numId w:val="8"/>
              </w:numPr>
              <w:spacing w:before="60" w:after="60" w:line="240" w:lineRule="auto"/>
              <w:ind w:left="284" w:hanging="284"/>
              <w:rPr>
                <w:rStyle w:val="DefaultParagraphFont"/>
                <w:rFonts w:asciiTheme="minorHAnsi" w:eastAsiaTheme="minorHAnsi" w:hAnsiTheme="minorHAnsi" w:cstheme="minorHAnsi"/>
                <w:sz w:val="19"/>
                <w:szCs w:val="22"/>
                <w:lang w:val="en-AU" w:eastAsia="en-US" w:bidi="ar-SA"/>
              </w:rPr>
            </w:pPr>
            <w:r w:rsidRPr="00BC51A1">
              <w:rPr>
                <w:rFonts w:asciiTheme="minorHAnsi" w:eastAsiaTheme="minorHAnsi" w:hAnsiTheme="minorHAnsi" w:cstheme="minorHAnsi"/>
                <w:sz w:val="18"/>
                <w:szCs w:val="22"/>
                <w:lang w:val="en-US" w:eastAsia="en-US" w:bidi="ar-SA"/>
              </w:rPr>
              <w:t>Viral diseases such as scabby mouth or infectious bovine rhinotracheitis</w:t>
            </w:r>
          </w:p>
          <w:p w:rsidR="000D35BF" w:rsidRPr="00BC51A1" w:rsidP="00C64E4F">
            <w:pPr>
              <w:pStyle w:val="TableBullet1"/>
              <w:numPr>
                <w:numId w:val="8"/>
              </w:numPr>
              <w:spacing w:before="60" w:after="60" w:line="240" w:lineRule="auto"/>
              <w:ind w:left="284" w:hanging="284"/>
              <w:rPr>
                <w:rStyle w:val="DefaultParagraphFont"/>
                <w:rFonts w:asciiTheme="minorHAnsi" w:eastAsiaTheme="minorHAnsi" w:hAnsiTheme="minorHAnsi" w:cstheme="minorHAnsi"/>
                <w:sz w:val="19"/>
                <w:szCs w:val="22"/>
                <w:lang w:val="en-AU" w:eastAsia="en-US" w:bidi="ar-SA"/>
              </w:rPr>
            </w:pPr>
            <w:r w:rsidRPr="00BC51A1">
              <w:rPr>
                <w:rFonts w:asciiTheme="minorHAnsi" w:eastAsiaTheme="minorHAnsi" w:hAnsiTheme="minorHAnsi" w:cstheme="minorHAnsi"/>
                <w:sz w:val="18"/>
                <w:szCs w:val="22"/>
                <w:lang w:val="en-US" w:eastAsia="en-US" w:bidi="ar-SA"/>
              </w:rPr>
              <w:t>Animals displaying clinical signs of infectious or contagious disease or of external parasites</w:t>
            </w:r>
          </w:p>
          <w:p w:rsidR="000D35BF" w:rsidRPr="00BC51A1" w:rsidP="00C64E4F">
            <w:pPr>
              <w:pStyle w:val="TableBullet1"/>
              <w:numPr>
                <w:numId w:val="8"/>
              </w:numPr>
              <w:spacing w:before="60" w:after="60" w:line="240" w:lineRule="auto"/>
              <w:ind w:left="284" w:hanging="284"/>
              <w:rPr>
                <w:rStyle w:val="DefaultParagraphFont"/>
                <w:rFonts w:asciiTheme="minorHAnsi" w:eastAsiaTheme="minorHAnsi" w:hAnsiTheme="minorHAnsi" w:cstheme="minorHAnsi"/>
                <w:sz w:val="19"/>
                <w:szCs w:val="22"/>
                <w:lang w:val="en-AU" w:eastAsia="en-US" w:bidi="ar-SA"/>
              </w:rPr>
            </w:pPr>
            <w:r w:rsidRPr="00BC51A1">
              <w:rPr>
                <w:rFonts w:asciiTheme="minorHAnsi" w:eastAsiaTheme="minorHAnsi" w:hAnsiTheme="minorHAnsi" w:cstheme="minorHAnsi"/>
                <w:sz w:val="18"/>
                <w:szCs w:val="22"/>
                <w:lang w:val="en-US" w:eastAsia="en-US" w:bidi="ar-SA"/>
              </w:rPr>
              <w:t>Animals showing signs of injury such as but not limited to fractures or swelling</w:t>
            </w:r>
          </w:p>
          <w:p w:rsidR="000D35BF" w:rsidRPr="00BC51A1" w:rsidP="00C64E4F">
            <w:pPr>
              <w:pStyle w:val="TableBullet1"/>
              <w:numPr>
                <w:numId w:val="8"/>
              </w:numPr>
              <w:spacing w:before="60" w:after="60" w:line="240" w:lineRule="auto"/>
              <w:ind w:left="284" w:hanging="284"/>
              <w:rPr>
                <w:rStyle w:val="DefaultParagraphFont"/>
                <w:rFonts w:asciiTheme="minorHAnsi" w:eastAsiaTheme="minorHAnsi" w:hAnsiTheme="minorHAnsi" w:cstheme="minorHAnsi"/>
                <w:sz w:val="19"/>
                <w:szCs w:val="22"/>
                <w:lang w:val="en-AU" w:eastAsia="en-US" w:bidi="ar-SA"/>
              </w:rPr>
            </w:pPr>
            <w:r w:rsidRPr="00BC51A1">
              <w:rPr>
                <w:rFonts w:asciiTheme="minorHAnsi" w:eastAsiaTheme="minorHAnsi" w:hAnsiTheme="minorHAnsi" w:cstheme="minorHAnsi"/>
                <w:sz w:val="18"/>
                <w:szCs w:val="22"/>
                <w:lang w:val="en-US" w:eastAsia="en-US" w:bidi="ar-SA"/>
              </w:rPr>
              <w:t>Evidence of imminent parturition</w:t>
            </w:r>
          </w:p>
        </w:tc>
      </w:tr>
      <w:tr w:rsidTr="00C64E4F">
        <w:tblPrEx>
          <w:tblW w:w="5000" w:type="pct"/>
          <w:tblInd w:w="0" w:type="dxa"/>
          <w:tblCellMar>
            <w:top w:w="0" w:type="dxa"/>
            <w:left w:w="108" w:type="dxa"/>
            <w:bottom w:w="0" w:type="dxa"/>
            <w:right w:w="108" w:type="dxa"/>
          </w:tblCellMar>
          <w:tblLook w:val="01E0"/>
        </w:tblPrEx>
        <w:trPr>
          <w:trHeight w:val="1433"/>
        </w:trPr>
        <w:tc>
          <w:tcPr>
            <w:tcW w:w="1223" w:type="pct"/>
            <w:tcBorders>
              <w:top w:val="single" w:sz="4" w:space="0" w:color="auto"/>
              <w:bottom w:val="single" w:sz="4" w:space="0" w:color="auto"/>
            </w:tcBorders>
          </w:tcPr>
          <w:p w:rsidR="000D35BF" w:rsidRPr="00BC51A1" w:rsidP="00C64E4F">
            <w:pPr>
              <w:pStyle w:val="TableText"/>
              <w:spacing w:before="60" w:after="60"/>
              <w:rPr>
                <w:rStyle w:val="DefaultParagraphFont"/>
                <w:rFonts w:eastAsia="Times New Roman" w:asciiTheme="minorHAnsi" w:hAnsiTheme="minorHAnsi" w:cstheme="minorHAnsi"/>
                <w:color w:val="000000"/>
                <w:sz w:val="19"/>
                <w:szCs w:val="22"/>
                <w:lang w:val="en-GB" w:eastAsia="en-AU" w:bidi="ar-SA"/>
              </w:rPr>
            </w:pPr>
            <w:r w:rsidRPr="00BC51A1">
              <w:rPr>
                <w:rFonts w:asciiTheme="minorHAnsi" w:eastAsiaTheme="minorHAnsi" w:hAnsiTheme="minorHAnsi" w:cstheme="minorHAnsi"/>
                <w:color w:val="000000"/>
                <w:sz w:val="18"/>
                <w:szCs w:val="22"/>
                <w:lang w:val="en-AU" w:eastAsia="en-AU" w:bidi="ar-SA"/>
              </w:rPr>
              <w:t>Systemic conditions</w:t>
            </w:r>
          </w:p>
        </w:tc>
        <w:tc>
          <w:tcPr>
            <w:tcW w:w="3777" w:type="pct"/>
            <w:tcBorders>
              <w:top w:val="single" w:sz="4" w:space="0" w:color="auto"/>
              <w:bottom w:val="single" w:sz="4" w:space="0" w:color="auto"/>
            </w:tcBorders>
          </w:tcPr>
          <w:p w:rsidR="000D35BF" w:rsidRPr="00BC51A1" w:rsidP="00C64E4F">
            <w:pPr>
              <w:pStyle w:val="TableBullet1"/>
              <w:numPr>
                <w:numId w:val="8"/>
              </w:numPr>
              <w:spacing w:before="60" w:after="60" w:line="240" w:lineRule="auto"/>
              <w:ind w:left="284" w:hanging="284"/>
              <w:rPr>
                <w:rStyle w:val="DefaultParagraphFont"/>
                <w:rFonts w:asciiTheme="minorHAnsi" w:eastAsiaTheme="minorHAnsi" w:hAnsiTheme="minorHAnsi" w:cstheme="minorHAnsi"/>
                <w:sz w:val="19"/>
                <w:szCs w:val="22"/>
                <w:lang w:val="en-AU" w:eastAsia="en-AU" w:bidi="ar-SA"/>
              </w:rPr>
            </w:pPr>
            <w:r w:rsidRPr="00BC51A1">
              <w:rPr>
                <w:rFonts w:asciiTheme="minorHAnsi" w:eastAsiaTheme="minorHAnsi" w:hAnsiTheme="minorHAnsi" w:cstheme="minorHAnsi"/>
                <w:sz w:val="18"/>
                <w:szCs w:val="22"/>
                <w:lang w:val="en-AU" w:eastAsia="en-AU" w:bidi="ar-SA"/>
              </w:rPr>
              <w:t xml:space="preserve">Body condition score not appropriate for </w:t>
            </w:r>
            <w:r w:rsidRPr="00BC51A1">
              <w:rPr>
                <w:rFonts w:asciiTheme="minorHAnsi" w:eastAsiaTheme="minorHAnsi" w:hAnsiTheme="minorHAnsi" w:cstheme="minorHAnsi"/>
                <w:sz w:val="18"/>
                <w:szCs w:val="22"/>
                <w:lang w:val="en-AU" w:eastAsia="en-AU" w:bidi="ar-SA"/>
              </w:rPr>
              <w:t>export (such as emaciated or over-fat)</w:t>
            </w:r>
          </w:p>
          <w:p w:rsidR="000D35BF" w:rsidRPr="00BC51A1" w:rsidP="00C64E4F">
            <w:pPr>
              <w:pStyle w:val="TableBullet1"/>
              <w:numPr>
                <w:numId w:val="8"/>
              </w:numPr>
              <w:spacing w:before="60" w:after="60" w:line="240" w:lineRule="auto"/>
              <w:ind w:left="284" w:hanging="284"/>
              <w:rPr>
                <w:rStyle w:val="DefaultParagraphFont"/>
                <w:rFonts w:asciiTheme="minorHAnsi" w:eastAsiaTheme="minorHAnsi" w:hAnsiTheme="minorHAnsi" w:cstheme="minorHAnsi"/>
                <w:sz w:val="19"/>
                <w:szCs w:val="22"/>
                <w:lang w:val="en-AU" w:eastAsia="en-US" w:bidi="ar-SA"/>
              </w:rPr>
            </w:pPr>
            <w:r w:rsidRPr="00BC51A1">
              <w:rPr>
                <w:rFonts w:asciiTheme="minorHAnsi" w:eastAsiaTheme="minorHAnsi" w:hAnsiTheme="minorHAnsi" w:cstheme="minorHAnsi"/>
                <w:sz w:val="18"/>
                <w:szCs w:val="22"/>
                <w:lang w:val="en-US" w:eastAsia="en-US" w:bidi="ar-SA"/>
              </w:rPr>
              <w:t>Anorexia (inappetence or 'shy feeders')</w:t>
            </w:r>
          </w:p>
          <w:p w:rsidR="000D35BF" w:rsidRPr="00BC51A1" w:rsidP="00C64E4F">
            <w:pPr>
              <w:pStyle w:val="TableBullet1"/>
              <w:numPr>
                <w:numId w:val="8"/>
              </w:numPr>
              <w:spacing w:before="60" w:after="60" w:line="240" w:lineRule="auto"/>
              <w:ind w:left="284" w:hanging="284"/>
              <w:rPr>
                <w:rStyle w:val="DefaultParagraphFont"/>
                <w:rFonts w:asciiTheme="minorHAnsi" w:eastAsiaTheme="minorHAnsi" w:hAnsiTheme="minorHAnsi" w:cstheme="minorHAnsi"/>
                <w:sz w:val="19"/>
                <w:szCs w:val="22"/>
                <w:lang w:val="en-AU" w:eastAsia="en-US" w:bidi="ar-SA"/>
              </w:rPr>
            </w:pPr>
            <w:r w:rsidRPr="00BC51A1">
              <w:rPr>
                <w:rFonts w:asciiTheme="minorHAnsi" w:eastAsiaTheme="minorHAnsi" w:hAnsiTheme="minorHAnsi" w:cstheme="minorHAnsi"/>
                <w:sz w:val="18"/>
                <w:szCs w:val="22"/>
                <w:lang w:val="en-US" w:eastAsia="en-US" w:bidi="ar-SA"/>
              </w:rPr>
              <w:t>Uncoordinated, collapsed, weak</w:t>
            </w:r>
          </w:p>
          <w:p w:rsidR="000D35BF" w:rsidRPr="00BC51A1" w:rsidP="00C64E4F">
            <w:pPr>
              <w:pStyle w:val="TableBullet1"/>
              <w:numPr>
                <w:numId w:val="8"/>
              </w:numPr>
              <w:spacing w:before="60" w:after="60" w:line="240" w:lineRule="auto"/>
              <w:ind w:left="284" w:hanging="284"/>
              <w:rPr>
                <w:rStyle w:val="DefaultParagraphFont"/>
                <w:rFonts w:asciiTheme="minorHAnsi" w:eastAsiaTheme="minorHAnsi" w:hAnsiTheme="minorHAnsi" w:cstheme="minorHAnsi"/>
                <w:sz w:val="19"/>
                <w:szCs w:val="22"/>
                <w:lang w:val="en-AU" w:eastAsia="en-US" w:bidi="ar-SA"/>
              </w:rPr>
            </w:pPr>
            <w:r w:rsidRPr="00BC51A1">
              <w:rPr>
                <w:rFonts w:asciiTheme="minorHAnsi" w:eastAsiaTheme="minorHAnsi" w:hAnsiTheme="minorHAnsi" w:cstheme="minorHAnsi"/>
                <w:sz w:val="18"/>
                <w:szCs w:val="22"/>
                <w:lang w:val="en-US" w:eastAsia="en-US" w:bidi="ar-SA"/>
              </w:rPr>
              <w:t>Unwell, lethargic, dehydrated</w:t>
            </w:r>
          </w:p>
          <w:p w:rsidR="000D35BF" w:rsidRPr="00BC51A1" w:rsidP="00C64E4F">
            <w:pPr>
              <w:pStyle w:val="TableBullet1"/>
              <w:numPr>
                <w:numId w:val="8"/>
              </w:numPr>
              <w:spacing w:before="60" w:after="60" w:line="240" w:lineRule="auto"/>
              <w:ind w:left="284" w:hanging="284"/>
              <w:rPr>
                <w:rStyle w:val="DefaultParagraphFont"/>
                <w:rFonts w:asciiTheme="minorHAnsi" w:eastAsiaTheme="minorHAnsi" w:hAnsiTheme="minorHAnsi" w:cstheme="minorHAnsi"/>
                <w:sz w:val="19"/>
                <w:szCs w:val="22"/>
                <w:lang w:val="en-AU" w:eastAsia="en-US" w:bidi="ar-SA"/>
              </w:rPr>
            </w:pPr>
            <w:r w:rsidRPr="00BC51A1">
              <w:rPr>
                <w:rFonts w:asciiTheme="minorHAnsi" w:eastAsiaTheme="minorHAnsi" w:hAnsiTheme="minorHAnsi" w:cstheme="minorHAnsi"/>
                <w:sz w:val="18"/>
                <w:szCs w:val="22"/>
                <w:lang w:val="en-US" w:eastAsia="en-US" w:bidi="ar-SA"/>
              </w:rPr>
              <w:t>Ill-thrift</w:t>
            </w:r>
          </w:p>
        </w:tc>
      </w:tr>
      <w:tr w:rsidTr="00C64E4F">
        <w:tblPrEx>
          <w:tblW w:w="5000" w:type="pct"/>
          <w:tblInd w:w="0" w:type="dxa"/>
          <w:tblCellMar>
            <w:top w:w="0" w:type="dxa"/>
            <w:left w:w="108" w:type="dxa"/>
            <w:bottom w:w="0" w:type="dxa"/>
            <w:right w:w="108" w:type="dxa"/>
          </w:tblCellMar>
          <w:tblLook w:val="01E0"/>
        </w:tblPrEx>
        <w:trPr>
          <w:trHeight w:val="216"/>
        </w:trPr>
        <w:tc>
          <w:tcPr>
            <w:tcW w:w="1223" w:type="pct"/>
            <w:tcBorders>
              <w:top w:val="single" w:sz="4" w:space="0" w:color="auto"/>
              <w:bottom w:val="single" w:sz="4" w:space="0" w:color="auto"/>
            </w:tcBorders>
          </w:tcPr>
          <w:p w:rsidR="000D35BF" w:rsidRPr="00BC51A1" w:rsidP="00C64E4F">
            <w:pPr>
              <w:pStyle w:val="TableText"/>
              <w:spacing w:before="60" w:after="60"/>
              <w:rPr>
                <w:rStyle w:val="DefaultParagraphFont"/>
                <w:rFonts w:eastAsia="Times New Roman" w:asciiTheme="minorHAnsi" w:hAnsiTheme="minorHAnsi" w:cstheme="minorHAnsi"/>
                <w:color w:val="000000"/>
                <w:sz w:val="19"/>
                <w:szCs w:val="22"/>
                <w:lang w:val="en-GB" w:eastAsia="en-AU" w:bidi="ar-SA"/>
              </w:rPr>
            </w:pPr>
            <w:r w:rsidRPr="00BC51A1">
              <w:rPr>
                <w:rFonts w:asciiTheme="minorHAnsi" w:eastAsiaTheme="minorHAnsi" w:hAnsiTheme="minorHAnsi" w:cstheme="minorHAnsi"/>
                <w:color w:val="000000"/>
                <w:sz w:val="18"/>
                <w:szCs w:val="22"/>
                <w:lang w:val="en-AU" w:eastAsia="en-AU" w:bidi="ar-SA"/>
              </w:rPr>
              <w:t>Gastrointestinal system</w:t>
            </w:r>
          </w:p>
        </w:tc>
        <w:tc>
          <w:tcPr>
            <w:tcW w:w="3777" w:type="pct"/>
            <w:tcBorders>
              <w:top w:val="single" w:sz="4" w:space="0" w:color="auto"/>
              <w:bottom w:val="single" w:sz="4" w:space="0" w:color="auto"/>
            </w:tcBorders>
          </w:tcPr>
          <w:p w:rsidR="000D35BF" w:rsidRPr="00BC51A1" w:rsidP="00C64E4F">
            <w:pPr>
              <w:pStyle w:val="TableBullet1"/>
              <w:numPr>
                <w:numId w:val="8"/>
              </w:numPr>
              <w:spacing w:before="60" w:after="60" w:line="240" w:lineRule="auto"/>
              <w:ind w:left="284" w:hanging="284"/>
              <w:rPr>
                <w:rStyle w:val="DefaultParagraphFont"/>
                <w:rFonts w:asciiTheme="minorHAnsi" w:eastAsiaTheme="minorHAnsi" w:hAnsiTheme="minorHAnsi" w:cstheme="minorHAnsi"/>
                <w:sz w:val="19"/>
                <w:szCs w:val="22"/>
                <w:lang w:val="en-AU" w:eastAsia="en-AU" w:bidi="ar-SA"/>
              </w:rPr>
            </w:pPr>
            <w:r w:rsidRPr="00BC51A1">
              <w:rPr>
                <w:rFonts w:asciiTheme="minorHAnsi" w:eastAsiaTheme="minorHAnsi" w:hAnsiTheme="minorHAnsi" w:cstheme="minorHAnsi"/>
                <w:sz w:val="18"/>
                <w:szCs w:val="22"/>
                <w:lang w:val="en-AU" w:eastAsia="en-AU" w:bidi="ar-SA"/>
              </w:rPr>
              <w:t>Dysentery or profuse diarrhoea</w:t>
            </w:r>
          </w:p>
          <w:p w:rsidR="000D35BF" w:rsidRPr="00BC51A1" w:rsidP="00C64E4F">
            <w:pPr>
              <w:pStyle w:val="TableBullet1"/>
              <w:numPr>
                <w:numId w:val="8"/>
              </w:numPr>
              <w:spacing w:before="60" w:after="60" w:line="240" w:lineRule="auto"/>
              <w:ind w:left="284" w:hanging="284"/>
              <w:rPr>
                <w:rStyle w:val="DefaultParagraphFont"/>
                <w:rFonts w:asciiTheme="minorHAnsi" w:eastAsiaTheme="minorHAnsi" w:hAnsiTheme="minorHAnsi" w:cstheme="minorHAnsi"/>
                <w:sz w:val="19"/>
                <w:szCs w:val="22"/>
                <w:lang w:val="en-AU" w:eastAsia="en-AU" w:bidi="ar-SA"/>
              </w:rPr>
            </w:pPr>
            <w:r w:rsidRPr="00BC51A1">
              <w:rPr>
                <w:rFonts w:asciiTheme="minorHAnsi" w:eastAsiaTheme="minorHAnsi" w:hAnsiTheme="minorHAnsi" w:cstheme="minorHAnsi"/>
                <w:sz w:val="18"/>
                <w:szCs w:val="22"/>
                <w:lang w:val="en-AU" w:eastAsia="en-AU" w:bidi="ar-SA"/>
              </w:rPr>
              <w:t>Bloat</w:t>
            </w:r>
          </w:p>
        </w:tc>
      </w:tr>
      <w:tr w:rsidTr="00C64E4F">
        <w:tblPrEx>
          <w:tblW w:w="5000" w:type="pct"/>
          <w:tblInd w:w="0" w:type="dxa"/>
          <w:tblCellMar>
            <w:top w:w="0" w:type="dxa"/>
            <w:left w:w="108" w:type="dxa"/>
            <w:bottom w:w="0" w:type="dxa"/>
            <w:right w:w="108" w:type="dxa"/>
          </w:tblCellMar>
          <w:tblLook w:val="01E0"/>
        </w:tblPrEx>
        <w:trPr>
          <w:trHeight w:val="545"/>
        </w:trPr>
        <w:tc>
          <w:tcPr>
            <w:tcW w:w="1223" w:type="pct"/>
            <w:tcBorders>
              <w:top w:val="single" w:sz="4" w:space="0" w:color="auto"/>
              <w:bottom w:val="single" w:sz="4" w:space="0" w:color="auto"/>
            </w:tcBorders>
          </w:tcPr>
          <w:p w:rsidR="000D35BF" w:rsidRPr="00BC51A1" w:rsidP="00C64E4F">
            <w:pPr>
              <w:pStyle w:val="TableText"/>
              <w:spacing w:before="60" w:after="60"/>
              <w:rPr>
                <w:rStyle w:val="DefaultParagraphFont"/>
                <w:rFonts w:eastAsia="Times New Roman" w:asciiTheme="minorHAnsi" w:hAnsiTheme="minorHAnsi" w:cstheme="minorHAnsi"/>
                <w:color w:val="000000"/>
                <w:sz w:val="19"/>
                <w:szCs w:val="22"/>
                <w:lang w:val="en-GB" w:eastAsia="en-AU" w:bidi="ar-SA"/>
              </w:rPr>
            </w:pPr>
            <w:r w:rsidRPr="00BC51A1">
              <w:rPr>
                <w:rFonts w:asciiTheme="minorHAnsi" w:eastAsiaTheme="minorHAnsi" w:hAnsiTheme="minorHAnsi" w:cstheme="minorHAnsi"/>
                <w:color w:val="000000"/>
                <w:sz w:val="18"/>
                <w:szCs w:val="22"/>
                <w:lang w:val="en-AU" w:eastAsia="en-AU" w:bidi="ar-SA"/>
              </w:rPr>
              <w:t>Musculoskeletal system</w:t>
            </w:r>
          </w:p>
        </w:tc>
        <w:tc>
          <w:tcPr>
            <w:tcW w:w="3777" w:type="pct"/>
            <w:tcBorders>
              <w:top w:val="single" w:sz="4" w:space="0" w:color="auto"/>
              <w:bottom w:val="single" w:sz="4" w:space="0" w:color="auto"/>
            </w:tcBorders>
          </w:tcPr>
          <w:p w:rsidR="000D35BF" w:rsidRPr="00BC51A1" w:rsidP="00C64E4F">
            <w:pPr>
              <w:pStyle w:val="TableBullet1"/>
              <w:numPr>
                <w:numId w:val="8"/>
              </w:numPr>
              <w:spacing w:before="60" w:after="60" w:line="240" w:lineRule="auto"/>
              <w:ind w:left="284" w:hanging="284"/>
              <w:rPr>
                <w:rStyle w:val="DefaultParagraphFont"/>
                <w:rFonts w:asciiTheme="minorHAnsi" w:eastAsiaTheme="minorHAnsi" w:hAnsiTheme="minorHAnsi" w:cstheme="minorHAnsi"/>
                <w:sz w:val="19"/>
                <w:szCs w:val="22"/>
                <w:lang w:val="en-AU" w:eastAsia="en-AU" w:bidi="ar-SA"/>
              </w:rPr>
            </w:pPr>
            <w:r w:rsidRPr="00BC51A1">
              <w:rPr>
                <w:rFonts w:asciiTheme="minorHAnsi" w:eastAsiaTheme="minorHAnsi" w:hAnsiTheme="minorHAnsi" w:cstheme="minorHAnsi"/>
                <w:sz w:val="18"/>
                <w:szCs w:val="22"/>
                <w:lang w:val="en-AU" w:eastAsia="en-AU" w:bidi="ar-SA"/>
              </w:rPr>
              <w:t xml:space="preserve">Abnormal gait or </w:t>
            </w:r>
            <w:r w:rsidRPr="00BC51A1">
              <w:rPr>
                <w:rFonts w:asciiTheme="minorHAnsi" w:eastAsiaTheme="minorHAnsi" w:hAnsiTheme="minorHAnsi" w:cstheme="minorHAnsi"/>
                <w:sz w:val="18"/>
                <w:szCs w:val="22"/>
                <w:lang w:val="en-AU" w:eastAsia="en-AU" w:bidi="ar-SA"/>
              </w:rPr>
              <w:t>lameness of any kind</w:t>
            </w:r>
          </w:p>
          <w:p w:rsidR="000D35BF" w:rsidRPr="00BC51A1" w:rsidP="00C64E4F">
            <w:pPr>
              <w:pStyle w:val="TableBullet1"/>
              <w:numPr>
                <w:numId w:val="8"/>
              </w:numPr>
              <w:spacing w:before="60" w:after="60" w:line="240" w:lineRule="auto"/>
              <w:ind w:left="284" w:hanging="284"/>
              <w:rPr>
                <w:rStyle w:val="DefaultParagraphFont"/>
                <w:rFonts w:asciiTheme="minorHAnsi" w:eastAsiaTheme="minorHAnsi" w:hAnsiTheme="minorHAnsi" w:cstheme="minorHAnsi"/>
                <w:sz w:val="19"/>
                <w:szCs w:val="22"/>
                <w:lang w:val="en-AU" w:eastAsia="en-AU" w:bidi="ar-SA"/>
              </w:rPr>
            </w:pPr>
            <w:r w:rsidRPr="00BC51A1">
              <w:rPr>
                <w:rFonts w:asciiTheme="minorHAnsi" w:eastAsiaTheme="minorHAnsi" w:hAnsiTheme="minorHAnsi" w:cstheme="minorHAnsi"/>
                <w:sz w:val="18"/>
                <w:szCs w:val="22"/>
                <w:lang w:val="en-AU" w:eastAsia="en-AU" w:bidi="ar-SA"/>
              </w:rPr>
              <w:t>Abnormal soft tissue or bony swellings</w:t>
            </w:r>
          </w:p>
        </w:tc>
      </w:tr>
      <w:tr w:rsidTr="00C64E4F">
        <w:tblPrEx>
          <w:tblW w:w="5000" w:type="pct"/>
          <w:tblInd w:w="0" w:type="dxa"/>
          <w:tblCellMar>
            <w:top w:w="0" w:type="dxa"/>
            <w:left w:w="108" w:type="dxa"/>
            <w:bottom w:w="0" w:type="dxa"/>
            <w:right w:w="108" w:type="dxa"/>
          </w:tblCellMar>
          <w:tblLook w:val="01E0"/>
        </w:tblPrEx>
        <w:trPr>
          <w:trHeight w:val="545"/>
        </w:trPr>
        <w:tc>
          <w:tcPr>
            <w:tcW w:w="1223" w:type="pct"/>
            <w:tcBorders>
              <w:top w:val="single" w:sz="4" w:space="0" w:color="auto"/>
              <w:bottom w:val="single" w:sz="4" w:space="0" w:color="auto"/>
            </w:tcBorders>
          </w:tcPr>
          <w:p w:rsidR="000D35BF" w:rsidRPr="00BC51A1" w:rsidP="00C64E4F">
            <w:pPr>
              <w:pStyle w:val="TableText"/>
              <w:spacing w:before="60" w:after="60"/>
              <w:rPr>
                <w:rStyle w:val="DefaultParagraphFont"/>
                <w:rFonts w:eastAsia="Times New Roman" w:asciiTheme="minorHAnsi" w:hAnsiTheme="minorHAnsi" w:cstheme="minorHAnsi"/>
                <w:color w:val="000000"/>
                <w:sz w:val="19"/>
                <w:szCs w:val="22"/>
                <w:lang w:val="en-GB" w:eastAsia="en-AU" w:bidi="ar-SA"/>
              </w:rPr>
            </w:pPr>
            <w:r w:rsidRPr="00BC51A1">
              <w:rPr>
                <w:rFonts w:asciiTheme="minorHAnsi" w:eastAsiaTheme="minorHAnsi" w:hAnsiTheme="minorHAnsi" w:cstheme="minorHAnsi"/>
                <w:color w:val="000000"/>
                <w:sz w:val="18"/>
                <w:szCs w:val="22"/>
                <w:lang w:val="en-AU" w:eastAsia="en-AU" w:bidi="ar-SA"/>
              </w:rPr>
              <w:t>Nervous system</w:t>
            </w:r>
          </w:p>
        </w:tc>
        <w:tc>
          <w:tcPr>
            <w:tcW w:w="3777" w:type="pct"/>
            <w:tcBorders>
              <w:top w:val="single" w:sz="4" w:space="0" w:color="auto"/>
              <w:bottom w:val="single" w:sz="4" w:space="0" w:color="auto"/>
            </w:tcBorders>
          </w:tcPr>
          <w:p w:rsidR="000D35BF" w:rsidRPr="00BC51A1" w:rsidP="00C64E4F">
            <w:pPr>
              <w:pStyle w:val="TableBullet1"/>
              <w:numPr>
                <w:numId w:val="8"/>
              </w:numPr>
              <w:spacing w:before="60" w:after="60" w:line="240" w:lineRule="auto"/>
              <w:ind w:left="284" w:hanging="284"/>
              <w:rPr>
                <w:rStyle w:val="DefaultParagraphFont"/>
                <w:rFonts w:asciiTheme="minorHAnsi" w:eastAsiaTheme="minorHAnsi" w:hAnsiTheme="minorHAnsi" w:cstheme="minorHAnsi"/>
                <w:sz w:val="19"/>
                <w:szCs w:val="22"/>
                <w:lang w:val="en-AU" w:eastAsia="en-AU" w:bidi="ar-SA"/>
              </w:rPr>
            </w:pPr>
            <w:r w:rsidRPr="00BC51A1">
              <w:rPr>
                <w:rFonts w:asciiTheme="minorHAnsi" w:eastAsiaTheme="minorHAnsi" w:hAnsiTheme="minorHAnsi" w:cstheme="minorHAnsi"/>
                <w:sz w:val="18"/>
                <w:szCs w:val="22"/>
                <w:lang w:val="en-AU" w:eastAsia="en-AU" w:bidi="ar-SA"/>
              </w:rPr>
              <w:t>Nervous symptoms such as head tilt, circling, incoordination</w:t>
            </w:r>
          </w:p>
          <w:p w:rsidR="000D35BF" w:rsidRPr="00BC51A1" w:rsidP="00C64E4F">
            <w:pPr>
              <w:pStyle w:val="TableBullet1"/>
              <w:numPr>
                <w:numId w:val="8"/>
              </w:numPr>
              <w:spacing w:before="60" w:after="60" w:line="240" w:lineRule="auto"/>
              <w:ind w:left="284" w:hanging="284"/>
              <w:rPr>
                <w:rStyle w:val="DefaultParagraphFont"/>
                <w:rFonts w:asciiTheme="minorHAnsi" w:eastAsiaTheme="minorHAnsi" w:hAnsiTheme="minorHAnsi" w:cstheme="minorHAnsi"/>
                <w:sz w:val="19"/>
                <w:szCs w:val="22"/>
                <w:lang w:val="en-AU" w:eastAsia="en-AU" w:bidi="ar-SA"/>
              </w:rPr>
            </w:pPr>
            <w:r w:rsidRPr="00BC51A1">
              <w:rPr>
                <w:rFonts w:asciiTheme="minorHAnsi" w:eastAsiaTheme="minorHAnsi" w:hAnsiTheme="minorHAnsi" w:cstheme="minorHAnsi"/>
                <w:sz w:val="18"/>
                <w:szCs w:val="22"/>
                <w:lang w:val="en-AU" w:eastAsia="en-AU" w:bidi="ar-SA"/>
              </w:rPr>
              <w:t>Abnormal or aggressive behaviour/intractable or violent</w:t>
            </w:r>
          </w:p>
        </w:tc>
      </w:tr>
      <w:tr w:rsidTr="00C64E4F">
        <w:tblPrEx>
          <w:tblW w:w="5000" w:type="pct"/>
          <w:tblInd w:w="0" w:type="dxa"/>
          <w:tblCellMar>
            <w:top w:w="0" w:type="dxa"/>
            <w:left w:w="108" w:type="dxa"/>
            <w:bottom w:w="0" w:type="dxa"/>
            <w:right w:w="108" w:type="dxa"/>
          </w:tblCellMar>
          <w:tblLook w:val="01E0"/>
        </w:tblPrEx>
        <w:trPr>
          <w:trHeight w:val="1084"/>
        </w:trPr>
        <w:tc>
          <w:tcPr>
            <w:tcW w:w="1223" w:type="pct"/>
            <w:tcBorders>
              <w:top w:val="single" w:sz="4" w:space="0" w:color="auto"/>
              <w:bottom w:val="single" w:sz="4" w:space="0" w:color="auto"/>
            </w:tcBorders>
          </w:tcPr>
          <w:p w:rsidR="000D35BF" w:rsidRPr="00BC51A1" w:rsidP="00C64E4F">
            <w:pPr>
              <w:pStyle w:val="TableText"/>
              <w:spacing w:before="60" w:after="60"/>
              <w:rPr>
                <w:rStyle w:val="DefaultParagraphFont"/>
                <w:rFonts w:eastAsia="Times New Roman" w:asciiTheme="minorHAnsi" w:hAnsiTheme="minorHAnsi" w:cstheme="minorHAnsi"/>
                <w:color w:val="000000"/>
                <w:sz w:val="19"/>
                <w:szCs w:val="22"/>
                <w:lang w:val="en-GB" w:eastAsia="en-AU" w:bidi="ar-SA"/>
              </w:rPr>
            </w:pPr>
            <w:r w:rsidRPr="00BC51A1">
              <w:rPr>
                <w:rFonts w:asciiTheme="minorHAnsi" w:eastAsiaTheme="minorHAnsi" w:hAnsiTheme="minorHAnsi" w:cstheme="minorHAnsi"/>
                <w:color w:val="000000"/>
                <w:sz w:val="18"/>
                <w:szCs w:val="22"/>
                <w:lang w:val="en-AU" w:eastAsia="en-US" w:bidi="ar-SA"/>
              </w:rPr>
              <w:t>External/skin</w:t>
            </w:r>
          </w:p>
        </w:tc>
        <w:tc>
          <w:tcPr>
            <w:tcW w:w="3777" w:type="pct"/>
            <w:tcBorders>
              <w:top w:val="single" w:sz="4" w:space="0" w:color="auto"/>
              <w:bottom w:val="single" w:sz="4" w:space="0" w:color="auto"/>
            </w:tcBorders>
          </w:tcPr>
          <w:p w:rsidR="000D35BF" w:rsidRPr="00BC51A1" w:rsidP="00C64E4F">
            <w:pPr>
              <w:pStyle w:val="TableBullet1"/>
              <w:numPr>
                <w:numId w:val="8"/>
              </w:numPr>
              <w:spacing w:before="60" w:after="60" w:line="240" w:lineRule="auto"/>
              <w:ind w:left="284" w:hanging="284"/>
              <w:rPr>
                <w:rStyle w:val="DefaultParagraphFont"/>
                <w:rFonts w:asciiTheme="minorHAnsi" w:eastAsiaTheme="minorHAnsi" w:hAnsiTheme="minorHAnsi" w:cstheme="minorHAnsi"/>
                <w:sz w:val="19"/>
                <w:szCs w:val="22"/>
                <w:lang w:val="en-AU" w:eastAsia="en-AU" w:bidi="ar-SA"/>
              </w:rPr>
            </w:pPr>
            <w:r w:rsidRPr="00BC51A1">
              <w:rPr>
                <w:rFonts w:asciiTheme="minorHAnsi" w:eastAsiaTheme="minorHAnsi" w:hAnsiTheme="minorHAnsi" w:cstheme="minorHAnsi"/>
                <w:sz w:val="18"/>
                <w:szCs w:val="22"/>
                <w:lang w:val="en-AU" w:eastAsia="en-AU" w:bidi="ar-SA"/>
              </w:rPr>
              <w:t xml:space="preserve">Generalised papillomatosis or </w:t>
            </w:r>
            <w:r w:rsidRPr="00BC51A1">
              <w:rPr>
                <w:rFonts w:asciiTheme="minorHAnsi" w:eastAsiaTheme="minorHAnsi" w:hAnsiTheme="minorHAnsi" w:cstheme="minorHAnsi"/>
                <w:sz w:val="18"/>
                <w:szCs w:val="22"/>
                <w:lang w:val="en-AU" w:eastAsia="en-AU" w:bidi="ar-SA"/>
              </w:rPr>
              <w:t>generalised ringworm or dermatophilosis</w:t>
            </w:r>
          </w:p>
          <w:p w:rsidR="000D35BF" w:rsidRPr="00BC51A1" w:rsidP="00C64E4F">
            <w:pPr>
              <w:pStyle w:val="TableBullet1"/>
              <w:numPr>
                <w:numId w:val="8"/>
              </w:numPr>
              <w:spacing w:before="60" w:after="60" w:line="240" w:lineRule="auto"/>
              <w:ind w:left="284" w:hanging="284"/>
              <w:rPr>
                <w:rStyle w:val="DefaultParagraphFont"/>
                <w:rFonts w:asciiTheme="minorHAnsi" w:eastAsiaTheme="minorHAnsi" w:hAnsiTheme="minorHAnsi" w:cstheme="minorHAnsi"/>
                <w:sz w:val="19"/>
                <w:szCs w:val="22"/>
                <w:lang w:val="en-AU" w:eastAsia="en-US" w:bidi="ar-SA"/>
              </w:rPr>
            </w:pPr>
            <w:r w:rsidRPr="00BC51A1">
              <w:rPr>
                <w:rFonts w:asciiTheme="minorHAnsi" w:eastAsiaTheme="minorHAnsi" w:hAnsiTheme="minorHAnsi" w:cstheme="minorHAnsi"/>
                <w:sz w:val="18"/>
                <w:szCs w:val="22"/>
                <w:lang w:val="en-US" w:eastAsia="en-US" w:bidi="ar-SA"/>
              </w:rPr>
              <w:t>Generalised and extensive buffalo fly lesions</w:t>
            </w:r>
          </w:p>
          <w:p w:rsidR="000D35BF" w:rsidRPr="00BC51A1" w:rsidP="00C64E4F">
            <w:pPr>
              <w:pStyle w:val="TableBullet1"/>
              <w:numPr>
                <w:numId w:val="8"/>
              </w:numPr>
              <w:spacing w:before="60" w:after="60" w:line="240" w:lineRule="auto"/>
              <w:ind w:left="284" w:hanging="284"/>
              <w:rPr>
                <w:rStyle w:val="DefaultParagraphFont"/>
                <w:rFonts w:asciiTheme="minorHAnsi" w:eastAsiaTheme="minorHAnsi" w:hAnsiTheme="minorHAnsi" w:cstheme="minorHAnsi"/>
                <w:sz w:val="19"/>
                <w:szCs w:val="22"/>
                <w:lang w:val="en-AU" w:eastAsia="en-US" w:bidi="ar-SA"/>
              </w:rPr>
            </w:pPr>
            <w:r w:rsidRPr="00BC51A1">
              <w:rPr>
                <w:rFonts w:asciiTheme="minorHAnsi" w:eastAsiaTheme="minorHAnsi" w:hAnsiTheme="minorHAnsi" w:cstheme="minorHAnsi"/>
                <w:sz w:val="18"/>
                <w:szCs w:val="22"/>
                <w:lang w:val="en-US" w:eastAsia="en-US" w:bidi="ar-SA"/>
              </w:rPr>
              <w:t>Generalised skin disease or infection</w:t>
            </w:r>
          </w:p>
          <w:p w:rsidR="000D35BF" w:rsidRPr="00BC51A1" w:rsidP="00C64E4F">
            <w:pPr>
              <w:pStyle w:val="TableBullet1"/>
              <w:numPr>
                <w:numId w:val="8"/>
              </w:numPr>
              <w:spacing w:before="60" w:after="60" w:line="240" w:lineRule="auto"/>
              <w:ind w:left="284" w:hanging="284"/>
              <w:rPr>
                <w:rStyle w:val="DefaultParagraphFont"/>
                <w:rFonts w:asciiTheme="minorHAnsi" w:eastAsiaTheme="minorHAnsi" w:hAnsiTheme="minorHAnsi" w:cstheme="minorHAnsi"/>
                <w:sz w:val="19"/>
                <w:szCs w:val="22"/>
                <w:lang w:val="en-AU" w:eastAsia="en-US" w:bidi="ar-SA"/>
              </w:rPr>
            </w:pPr>
            <w:r w:rsidRPr="00BC51A1">
              <w:rPr>
                <w:rFonts w:asciiTheme="minorHAnsi" w:eastAsiaTheme="minorHAnsi" w:hAnsiTheme="minorHAnsi" w:cstheme="minorHAnsi"/>
                <w:sz w:val="18"/>
                <w:szCs w:val="22"/>
                <w:lang w:val="en-US" w:eastAsia="en-US" w:bidi="ar-SA"/>
              </w:rPr>
              <w:t>External skin cancer</w:t>
            </w:r>
          </w:p>
          <w:p w:rsidR="000D35BF" w:rsidRPr="00BC51A1" w:rsidP="00C64E4F">
            <w:pPr>
              <w:pStyle w:val="TableBullet1"/>
              <w:numPr>
                <w:numId w:val="8"/>
              </w:numPr>
              <w:spacing w:before="60" w:after="60" w:line="240" w:lineRule="auto"/>
              <w:ind w:left="284" w:hanging="284"/>
              <w:rPr>
                <w:rStyle w:val="DefaultParagraphFont"/>
                <w:rFonts w:asciiTheme="minorHAnsi" w:eastAsiaTheme="minorHAnsi" w:hAnsiTheme="minorHAnsi" w:cstheme="minorHAnsi"/>
                <w:sz w:val="19"/>
                <w:szCs w:val="22"/>
                <w:lang w:val="en-AU" w:eastAsia="en-US" w:bidi="ar-SA"/>
              </w:rPr>
            </w:pPr>
            <w:r w:rsidRPr="00BC51A1">
              <w:rPr>
                <w:rFonts w:asciiTheme="minorHAnsi" w:eastAsiaTheme="minorHAnsi" w:hAnsiTheme="minorHAnsi" w:cstheme="minorHAnsi"/>
                <w:sz w:val="18"/>
                <w:szCs w:val="22"/>
                <w:lang w:val="en-US" w:eastAsia="en-US" w:bidi="ar-SA"/>
              </w:rPr>
              <w:t>Lacerations that penetrate the full thickness of the dermis or are likely to affect the health or welfare of the animal</w:t>
            </w:r>
          </w:p>
          <w:p w:rsidR="000D35BF" w:rsidRPr="00BC51A1" w:rsidP="00C64E4F">
            <w:pPr>
              <w:pStyle w:val="TableBullet1"/>
              <w:numPr>
                <w:numId w:val="8"/>
              </w:numPr>
              <w:spacing w:before="60" w:after="60" w:line="240" w:lineRule="auto"/>
              <w:ind w:left="284" w:hanging="284"/>
              <w:rPr>
                <w:rStyle w:val="DefaultParagraphFont"/>
                <w:rFonts w:asciiTheme="minorHAnsi" w:eastAsiaTheme="minorHAnsi" w:hAnsiTheme="minorHAnsi" w:cstheme="minorHAnsi"/>
                <w:sz w:val="19"/>
                <w:szCs w:val="22"/>
                <w:lang w:val="en-AU" w:eastAsia="en-US" w:bidi="ar-SA"/>
              </w:rPr>
            </w:pPr>
            <w:r w:rsidRPr="00BC51A1">
              <w:rPr>
                <w:rFonts w:asciiTheme="minorHAnsi" w:eastAsiaTheme="minorHAnsi" w:hAnsiTheme="minorHAnsi" w:cstheme="minorHAnsi"/>
                <w:sz w:val="18"/>
                <w:szCs w:val="22"/>
                <w:lang w:val="en-US" w:eastAsia="en-US" w:bidi="ar-SA"/>
              </w:rPr>
              <w:t>Discharging wounds or abscesses</w:t>
            </w:r>
          </w:p>
          <w:p w:rsidR="000D35BF" w:rsidRPr="00BC51A1" w:rsidP="00C64E4F">
            <w:pPr>
              <w:pStyle w:val="TableBullet1"/>
              <w:numPr>
                <w:numId w:val="8"/>
              </w:numPr>
              <w:spacing w:before="60" w:after="60" w:line="240" w:lineRule="auto"/>
              <w:ind w:left="284" w:hanging="284"/>
              <w:rPr>
                <w:rStyle w:val="DefaultParagraphFont"/>
                <w:rFonts w:asciiTheme="minorHAnsi" w:eastAsiaTheme="minorHAnsi" w:hAnsiTheme="minorHAnsi" w:cstheme="minorHAnsi"/>
                <w:sz w:val="19"/>
                <w:szCs w:val="22"/>
                <w:lang w:val="en-AU" w:eastAsia="en-US" w:bidi="ar-SA"/>
              </w:rPr>
            </w:pPr>
            <w:r w:rsidRPr="00BC51A1">
              <w:rPr>
                <w:rFonts w:asciiTheme="minorHAnsi" w:eastAsiaTheme="minorHAnsi" w:hAnsiTheme="minorHAnsi" w:cstheme="minorHAnsi"/>
                <w:sz w:val="18"/>
                <w:szCs w:val="22"/>
                <w:lang w:val="en-US" w:eastAsia="en-US" w:bidi="ar-SA"/>
              </w:rPr>
              <w:t>Cutaneous myiasis (flystrike)</w:t>
            </w:r>
          </w:p>
          <w:p w:rsidR="000D35BF" w:rsidRPr="00BC51A1" w:rsidP="00C64E4F">
            <w:pPr>
              <w:pStyle w:val="TableBullet1"/>
              <w:numPr>
                <w:numId w:val="8"/>
              </w:numPr>
              <w:spacing w:before="60" w:after="60" w:line="240" w:lineRule="auto"/>
              <w:ind w:left="284" w:hanging="284"/>
              <w:rPr>
                <w:rStyle w:val="DefaultParagraphFont"/>
                <w:rFonts w:asciiTheme="minorHAnsi" w:eastAsiaTheme="minorHAnsi" w:hAnsiTheme="minorHAnsi" w:cstheme="minorHAnsi"/>
                <w:sz w:val="19"/>
                <w:szCs w:val="22"/>
                <w:lang w:val="en-AU" w:eastAsia="en-US" w:bidi="ar-SA"/>
              </w:rPr>
            </w:pPr>
            <w:r w:rsidRPr="00BC51A1">
              <w:rPr>
                <w:rFonts w:asciiTheme="minorHAnsi" w:eastAsiaTheme="minorHAnsi" w:hAnsiTheme="minorHAnsi" w:cstheme="minorHAnsi"/>
                <w:sz w:val="18"/>
                <w:szCs w:val="22"/>
                <w:lang w:val="en-US" w:eastAsia="en-US" w:bidi="ar-SA"/>
              </w:rPr>
              <w:t>Balanitis (pizzle rot in sheep)</w:t>
            </w:r>
          </w:p>
          <w:p w:rsidR="000D35BF" w:rsidRPr="00BC51A1" w:rsidP="00C64E4F">
            <w:pPr>
              <w:pStyle w:val="TableBullet1"/>
              <w:numPr>
                <w:numId w:val="8"/>
              </w:numPr>
              <w:spacing w:before="60" w:after="60" w:line="240" w:lineRule="auto"/>
              <w:ind w:left="284" w:hanging="284"/>
              <w:rPr>
                <w:rStyle w:val="DefaultParagraphFont"/>
                <w:rFonts w:asciiTheme="minorHAnsi" w:eastAsiaTheme="minorHAnsi" w:hAnsiTheme="minorHAnsi" w:cstheme="minorHAnsi"/>
                <w:sz w:val="19"/>
                <w:szCs w:val="22"/>
                <w:lang w:val="en-AU" w:eastAsia="en-US" w:bidi="ar-SA"/>
              </w:rPr>
            </w:pPr>
            <w:r w:rsidRPr="00BC51A1">
              <w:rPr>
                <w:rFonts w:asciiTheme="minorHAnsi" w:eastAsiaTheme="minorHAnsi" w:hAnsiTheme="minorHAnsi" w:cstheme="minorHAnsi"/>
                <w:sz w:val="18"/>
                <w:szCs w:val="22"/>
                <w:lang w:val="en-US" w:eastAsia="en-US" w:bidi="ar-SA"/>
              </w:rPr>
              <w:t>Blood/abnormal discharge from reproductive tract (vulva/prepuce)</w:t>
            </w:r>
          </w:p>
          <w:p w:rsidR="000D35BF" w:rsidRPr="00BC51A1" w:rsidP="00C64E4F">
            <w:pPr>
              <w:pStyle w:val="TableBullet1"/>
              <w:numPr>
                <w:numId w:val="8"/>
              </w:numPr>
              <w:spacing w:before="60" w:after="60" w:line="240" w:lineRule="auto"/>
              <w:ind w:left="284" w:hanging="284"/>
              <w:rPr>
                <w:rStyle w:val="DefaultParagraphFont"/>
                <w:rFonts w:asciiTheme="minorHAnsi" w:eastAsiaTheme="minorHAnsi" w:hAnsiTheme="minorHAnsi" w:cstheme="minorHAnsi"/>
                <w:sz w:val="19"/>
                <w:szCs w:val="22"/>
                <w:lang w:val="en-AU" w:eastAsia="en-US" w:bidi="ar-SA"/>
              </w:rPr>
            </w:pPr>
            <w:r w:rsidRPr="00BC51A1">
              <w:rPr>
                <w:rFonts w:asciiTheme="minorHAnsi" w:eastAsiaTheme="minorHAnsi" w:hAnsiTheme="minorHAnsi" w:cstheme="minorHAnsi"/>
                <w:sz w:val="18"/>
                <w:szCs w:val="22"/>
                <w:lang w:val="en-US" w:eastAsia="en-US" w:bidi="ar-SA"/>
              </w:rPr>
              <w:t>Visible external parasites</w:t>
            </w:r>
          </w:p>
        </w:tc>
      </w:tr>
      <w:tr w:rsidTr="00C64E4F">
        <w:tblPrEx>
          <w:tblW w:w="5000" w:type="pct"/>
          <w:tblInd w:w="0" w:type="dxa"/>
          <w:tblCellMar>
            <w:top w:w="0" w:type="dxa"/>
            <w:left w:w="108" w:type="dxa"/>
            <w:bottom w:w="0" w:type="dxa"/>
            <w:right w:w="108" w:type="dxa"/>
          </w:tblCellMar>
          <w:tblLook w:val="01E0"/>
        </w:tblPrEx>
        <w:trPr>
          <w:trHeight w:val="1084"/>
        </w:trPr>
        <w:tc>
          <w:tcPr>
            <w:tcW w:w="1223" w:type="pct"/>
            <w:tcBorders>
              <w:top w:val="single" w:sz="4" w:space="0" w:color="auto"/>
              <w:bottom w:val="single" w:sz="4" w:space="0" w:color="auto"/>
            </w:tcBorders>
          </w:tcPr>
          <w:p w:rsidR="000D35BF" w:rsidRPr="00BC51A1" w:rsidP="00C64E4F">
            <w:pPr>
              <w:pStyle w:val="TableText"/>
              <w:spacing w:before="60" w:after="60"/>
              <w:rPr>
                <w:rStyle w:val="DefaultParagraphFont"/>
                <w:rFonts w:eastAsia="Times New Roman" w:asciiTheme="minorHAnsi" w:hAnsiTheme="minorHAnsi" w:cstheme="minorHAnsi"/>
                <w:color w:val="000000"/>
                <w:sz w:val="19"/>
                <w:szCs w:val="22"/>
                <w:lang w:val="en-GB" w:eastAsia="en-AU" w:bidi="ar-SA"/>
              </w:rPr>
            </w:pPr>
            <w:r w:rsidRPr="00BC51A1">
              <w:rPr>
                <w:rFonts w:asciiTheme="minorHAnsi" w:eastAsiaTheme="minorHAnsi" w:hAnsiTheme="minorHAnsi" w:cstheme="minorHAnsi"/>
                <w:color w:val="000000"/>
                <w:sz w:val="18"/>
                <w:szCs w:val="22"/>
                <w:lang w:val="en-AU" w:eastAsia="en-US" w:bidi="ar-SA"/>
              </w:rPr>
              <w:t>Head</w:t>
            </w:r>
          </w:p>
        </w:tc>
        <w:tc>
          <w:tcPr>
            <w:tcW w:w="3777" w:type="pct"/>
            <w:tcBorders>
              <w:top w:val="single" w:sz="4" w:space="0" w:color="auto"/>
              <w:bottom w:val="single" w:sz="4" w:space="0" w:color="auto"/>
            </w:tcBorders>
          </w:tcPr>
          <w:p w:rsidR="000D35BF" w:rsidRPr="00BC51A1" w:rsidP="00C64E4F">
            <w:pPr>
              <w:pStyle w:val="TableBullet1"/>
              <w:numPr>
                <w:numId w:val="8"/>
              </w:numPr>
              <w:spacing w:before="60" w:after="60" w:line="240" w:lineRule="auto"/>
              <w:ind w:left="284" w:hanging="284"/>
              <w:rPr>
                <w:rStyle w:val="DefaultParagraphFont"/>
                <w:rFonts w:asciiTheme="minorHAnsi" w:eastAsiaTheme="minorHAnsi" w:hAnsiTheme="minorHAnsi" w:cstheme="minorHAnsi"/>
                <w:sz w:val="19"/>
                <w:szCs w:val="22"/>
                <w:lang w:val="en-AU" w:eastAsia="en-AU" w:bidi="ar-SA"/>
              </w:rPr>
            </w:pPr>
            <w:r w:rsidRPr="00BC51A1">
              <w:rPr>
                <w:rFonts w:asciiTheme="minorHAnsi" w:eastAsiaTheme="minorHAnsi" w:hAnsiTheme="minorHAnsi" w:cstheme="minorHAnsi"/>
                <w:sz w:val="18"/>
                <w:szCs w:val="22"/>
                <w:lang w:val="en-AU" w:eastAsia="en-AU" w:bidi="ar-SA"/>
              </w:rPr>
              <w:t>Blindness in 1 or both eyes</w:t>
            </w:r>
          </w:p>
          <w:p w:rsidR="000D35BF" w:rsidRPr="00BC51A1" w:rsidP="00C64E4F">
            <w:pPr>
              <w:pStyle w:val="TableBullet1"/>
              <w:numPr>
                <w:numId w:val="8"/>
              </w:numPr>
              <w:spacing w:before="60" w:after="60" w:line="240" w:lineRule="auto"/>
              <w:ind w:left="284" w:hanging="284"/>
              <w:rPr>
                <w:rStyle w:val="DefaultParagraphFont"/>
                <w:rFonts w:asciiTheme="minorHAnsi" w:eastAsiaTheme="minorHAnsi" w:hAnsiTheme="minorHAnsi" w:cstheme="minorHAnsi"/>
                <w:sz w:val="19"/>
                <w:szCs w:val="22"/>
                <w:lang w:val="en-AU" w:eastAsia="en-US" w:bidi="ar-SA"/>
              </w:rPr>
            </w:pPr>
            <w:r w:rsidRPr="00BC51A1">
              <w:rPr>
                <w:rFonts w:asciiTheme="minorHAnsi" w:eastAsiaTheme="minorHAnsi" w:hAnsiTheme="minorHAnsi" w:cstheme="minorHAnsi"/>
                <w:sz w:val="18"/>
                <w:szCs w:val="22"/>
                <w:lang w:val="en-US" w:eastAsia="en-US" w:bidi="ar-SA"/>
              </w:rPr>
              <w:t>Cancer eye</w:t>
            </w:r>
          </w:p>
          <w:p w:rsidR="000D35BF" w:rsidRPr="00BC51A1" w:rsidP="00C64E4F">
            <w:pPr>
              <w:pStyle w:val="TableBullet1"/>
              <w:numPr>
                <w:numId w:val="8"/>
              </w:numPr>
              <w:spacing w:before="60" w:after="60" w:line="240" w:lineRule="auto"/>
              <w:ind w:left="284" w:hanging="284"/>
              <w:rPr>
                <w:rStyle w:val="DefaultParagraphFont"/>
                <w:rFonts w:asciiTheme="minorHAnsi" w:eastAsiaTheme="minorHAnsi" w:hAnsiTheme="minorHAnsi" w:cstheme="minorHAnsi"/>
                <w:sz w:val="19"/>
                <w:szCs w:val="22"/>
                <w:lang w:val="en-AU" w:eastAsia="en-US" w:bidi="ar-SA"/>
              </w:rPr>
            </w:pPr>
            <w:r w:rsidRPr="00BC51A1">
              <w:rPr>
                <w:rFonts w:asciiTheme="minorHAnsi" w:eastAsiaTheme="minorHAnsi" w:hAnsiTheme="minorHAnsi" w:cstheme="minorHAnsi"/>
                <w:sz w:val="18"/>
                <w:szCs w:val="22"/>
                <w:lang w:val="en-US" w:eastAsia="en-US" w:bidi="ar-SA"/>
              </w:rPr>
              <w:t>Keratoconjunctivitis (pink eye)</w:t>
            </w:r>
          </w:p>
          <w:p w:rsidR="000D35BF" w:rsidRPr="00BC51A1" w:rsidP="00C64E4F">
            <w:pPr>
              <w:pStyle w:val="TableBullet1"/>
              <w:numPr>
                <w:numId w:val="8"/>
              </w:numPr>
              <w:spacing w:before="60" w:after="60" w:line="240" w:lineRule="auto"/>
              <w:ind w:left="284" w:hanging="284"/>
              <w:rPr>
                <w:rStyle w:val="DefaultParagraphFont"/>
                <w:rFonts w:asciiTheme="minorHAnsi" w:eastAsiaTheme="minorHAnsi" w:hAnsiTheme="minorHAnsi" w:cstheme="minorHAnsi"/>
                <w:sz w:val="19"/>
                <w:szCs w:val="22"/>
                <w:lang w:val="en-AU" w:eastAsia="en-US" w:bidi="ar-SA"/>
              </w:rPr>
            </w:pPr>
            <w:r w:rsidRPr="00BC51A1">
              <w:rPr>
                <w:rFonts w:asciiTheme="minorHAnsi" w:eastAsiaTheme="minorHAnsi" w:hAnsiTheme="minorHAnsi" w:cstheme="minorHAnsi"/>
                <w:sz w:val="18"/>
                <w:szCs w:val="22"/>
                <w:lang w:val="en-US" w:eastAsia="en-US" w:bidi="ar-SA"/>
              </w:rPr>
              <w:t>Excessive salivation</w:t>
            </w:r>
          </w:p>
          <w:p w:rsidR="000D35BF" w:rsidRPr="00BC51A1" w:rsidP="00C64E4F">
            <w:pPr>
              <w:pStyle w:val="TableBullet1"/>
              <w:numPr>
                <w:numId w:val="8"/>
              </w:numPr>
              <w:spacing w:before="60" w:after="60" w:line="240" w:lineRule="auto"/>
              <w:ind w:left="284" w:hanging="284"/>
              <w:rPr>
                <w:rStyle w:val="DefaultParagraphFont"/>
                <w:rFonts w:asciiTheme="minorHAnsi" w:eastAsiaTheme="minorHAnsi" w:hAnsiTheme="minorHAnsi" w:cstheme="minorHAnsi"/>
                <w:sz w:val="19"/>
                <w:szCs w:val="22"/>
                <w:lang w:val="en-AU" w:eastAsia="en-US" w:bidi="ar-SA"/>
              </w:rPr>
            </w:pPr>
            <w:r w:rsidRPr="00BC51A1">
              <w:rPr>
                <w:rFonts w:asciiTheme="minorHAnsi" w:eastAsiaTheme="minorHAnsi" w:hAnsiTheme="minorHAnsi" w:cstheme="minorHAnsi"/>
                <w:sz w:val="18"/>
                <w:szCs w:val="22"/>
                <w:lang w:val="en-US" w:eastAsia="en-US" w:bidi="ar-SA"/>
              </w:rPr>
              <w:t>Nasal discharge consistent with signs of a contagious or infectious disease</w:t>
            </w:r>
          </w:p>
          <w:p w:rsidR="000D35BF" w:rsidRPr="00BC51A1" w:rsidP="00C64E4F">
            <w:pPr>
              <w:pStyle w:val="TableBullet1"/>
              <w:numPr>
                <w:numId w:val="8"/>
              </w:numPr>
              <w:spacing w:before="60" w:after="60" w:line="240" w:lineRule="auto"/>
              <w:ind w:left="284" w:hanging="284"/>
              <w:rPr>
                <w:rStyle w:val="DefaultParagraphFont"/>
                <w:rFonts w:asciiTheme="minorHAnsi" w:eastAsiaTheme="minorHAnsi" w:hAnsiTheme="minorHAnsi" w:cstheme="minorHAnsi"/>
                <w:sz w:val="19"/>
                <w:szCs w:val="22"/>
                <w:lang w:val="en-AU" w:eastAsia="en-US" w:bidi="ar-SA"/>
              </w:rPr>
            </w:pPr>
            <w:r w:rsidRPr="00BC51A1">
              <w:rPr>
                <w:rFonts w:asciiTheme="minorHAnsi" w:eastAsiaTheme="minorHAnsi" w:hAnsiTheme="minorHAnsi" w:cstheme="minorHAnsi"/>
                <w:sz w:val="18"/>
                <w:szCs w:val="22"/>
                <w:lang w:val="en-US" w:eastAsia="en-US" w:bidi="ar-SA"/>
              </w:rPr>
              <w:t>Coughing consistent with signs of a contagious or infectious disease</w:t>
            </w:r>
          </w:p>
          <w:p w:rsidR="000D35BF" w:rsidRPr="00BC51A1" w:rsidP="00C64E4F">
            <w:pPr>
              <w:pStyle w:val="TableBullet1"/>
              <w:numPr>
                <w:numId w:val="8"/>
              </w:numPr>
              <w:spacing w:before="60" w:after="60" w:line="240" w:lineRule="auto"/>
              <w:ind w:left="284" w:hanging="284"/>
              <w:rPr>
                <w:rStyle w:val="DefaultParagraphFont"/>
                <w:rFonts w:asciiTheme="minorHAnsi" w:eastAsiaTheme="minorHAnsi" w:hAnsiTheme="minorHAnsi" w:cstheme="minorHAnsi"/>
                <w:sz w:val="19"/>
                <w:szCs w:val="22"/>
                <w:lang w:val="en-AU" w:eastAsia="en-US" w:bidi="ar-SA"/>
              </w:rPr>
            </w:pPr>
            <w:r w:rsidRPr="00BC51A1">
              <w:rPr>
                <w:rFonts w:asciiTheme="minorHAnsi" w:eastAsiaTheme="minorHAnsi" w:hAnsiTheme="minorHAnsi" w:cstheme="minorHAnsi"/>
                <w:sz w:val="18"/>
                <w:szCs w:val="22"/>
                <w:lang w:val="en-US" w:eastAsia="en-US" w:bidi="ar-SA"/>
              </w:rPr>
              <w:t>Respiratory distress-difficulty breathing</w:t>
            </w:r>
          </w:p>
          <w:p w:rsidR="000D35BF" w:rsidRPr="00E047F6" w:rsidP="00C64E4F">
            <w:pPr>
              <w:pStyle w:val="TableBullet1"/>
              <w:numPr>
                <w:numId w:val="8"/>
              </w:numPr>
              <w:spacing w:before="60" w:after="60" w:line="240" w:lineRule="auto"/>
              <w:ind w:left="284" w:hanging="284"/>
              <w:rPr>
                <w:rStyle w:val="DefaultParagraphFont"/>
                <w:rFonts w:asciiTheme="minorHAnsi" w:eastAsiaTheme="minorHAnsi" w:hAnsiTheme="minorHAnsi" w:cstheme="minorHAnsi"/>
                <w:sz w:val="19"/>
                <w:szCs w:val="22"/>
                <w:lang w:val="en-AU" w:eastAsia="en-US" w:bidi="ar-SA"/>
              </w:rPr>
            </w:pPr>
            <w:r w:rsidRPr="00E047F6">
              <w:rPr>
                <w:rFonts w:asciiTheme="minorHAnsi" w:eastAsiaTheme="minorHAnsi" w:hAnsiTheme="minorHAnsi" w:cstheme="minorHAnsi"/>
                <w:sz w:val="18"/>
                <w:szCs w:val="22"/>
                <w:lang w:val="en-US" w:eastAsia="en-US" w:bidi="ar-SA"/>
              </w:rPr>
              <w:t>Sharp horns</w:t>
            </w:r>
          </w:p>
          <w:p w:rsidR="000D35BF" w:rsidRPr="00E047F6" w:rsidP="00C64E4F">
            <w:pPr>
              <w:pStyle w:val="TableBullet1"/>
              <w:numPr>
                <w:numId w:val="8"/>
              </w:numPr>
              <w:spacing w:before="60" w:after="60" w:line="240" w:lineRule="auto"/>
              <w:ind w:left="284" w:hanging="284"/>
              <w:rPr>
                <w:rStyle w:val="DefaultParagraphFont"/>
                <w:rFonts w:asciiTheme="minorHAnsi" w:eastAsiaTheme="minorHAnsi" w:hAnsiTheme="minorHAnsi" w:cstheme="minorHAnsi"/>
                <w:sz w:val="19"/>
                <w:szCs w:val="22"/>
                <w:lang w:val="en-AU" w:eastAsia="en-US" w:bidi="ar-SA"/>
              </w:rPr>
            </w:pPr>
            <w:r w:rsidRPr="00E047F6">
              <w:rPr>
                <w:rFonts w:asciiTheme="minorHAnsi" w:eastAsiaTheme="minorHAnsi" w:hAnsiTheme="minorHAnsi" w:cstheme="minorHAnsi"/>
                <w:sz w:val="18"/>
                <w:szCs w:val="22"/>
                <w:lang w:val="en-US" w:eastAsia="en-US" w:bidi="ar-SA"/>
              </w:rPr>
              <w:t>Horns that could injure the animal or other animals</w:t>
            </w:r>
          </w:p>
          <w:p w:rsidR="000D35BF" w:rsidRPr="00E047F6" w:rsidP="00C64E4F">
            <w:pPr>
              <w:pStyle w:val="TableBullet1"/>
              <w:numPr>
                <w:numId w:val="8"/>
              </w:numPr>
              <w:spacing w:before="60" w:after="60" w:line="240" w:lineRule="auto"/>
              <w:ind w:left="284" w:hanging="284"/>
              <w:rPr>
                <w:rStyle w:val="DefaultParagraphFont"/>
                <w:rFonts w:asciiTheme="minorHAnsi" w:eastAsiaTheme="minorHAnsi" w:hAnsiTheme="minorHAnsi" w:cstheme="minorHAnsi"/>
                <w:sz w:val="19"/>
                <w:szCs w:val="22"/>
                <w:lang w:val="en-AU" w:eastAsia="en-US" w:bidi="ar-SA"/>
              </w:rPr>
            </w:pPr>
            <w:r w:rsidRPr="00E047F6">
              <w:rPr>
                <w:rFonts w:asciiTheme="minorHAnsi" w:eastAsiaTheme="minorHAnsi" w:hAnsiTheme="minorHAnsi" w:cstheme="minorHAnsi"/>
                <w:sz w:val="18"/>
                <w:szCs w:val="22"/>
                <w:lang w:val="en-US" w:eastAsia="en-US" w:bidi="ar-SA"/>
              </w:rPr>
              <w:t>Horns that could restrict access to feed or water</w:t>
            </w:r>
          </w:p>
          <w:p w:rsidR="000D35BF" w:rsidRPr="00633E51" w:rsidP="00C64E4F">
            <w:pPr>
              <w:pStyle w:val="TableBullet1"/>
              <w:numPr>
                <w:numId w:val="8"/>
              </w:numPr>
              <w:spacing w:before="60" w:after="60" w:line="240" w:lineRule="auto"/>
              <w:ind w:left="284" w:hanging="284"/>
              <w:rPr>
                <w:rStyle w:val="DefaultParagraphFont"/>
                <w:rFonts w:asciiTheme="minorHAnsi" w:eastAsiaTheme="minorHAnsi" w:hAnsiTheme="minorHAnsi" w:cstheme="minorHAnsi"/>
                <w:sz w:val="19"/>
                <w:szCs w:val="22"/>
                <w:lang w:val="en-AU" w:eastAsia="en-US" w:bidi="ar-SA"/>
              </w:rPr>
            </w:pPr>
            <w:r w:rsidRPr="00E047F6">
              <w:rPr>
                <w:rFonts w:asciiTheme="minorHAnsi" w:eastAsiaTheme="minorHAnsi" w:hAnsiTheme="minorHAnsi" w:cstheme="minorHAnsi"/>
                <w:sz w:val="18"/>
                <w:szCs w:val="22"/>
                <w:lang w:val="en-US" w:eastAsia="en-US" w:bidi="ar-SA"/>
              </w:rPr>
              <w:t>Bleeding and/or not fully healed horn stumps or broken antlers</w:t>
            </w:r>
          </w:p>
          <w:p w:rsidR="000D35BF" w:rsidRPr="00633E51" w:rsidP="00C64E4F">
            <w:pPr>
              <w:pStyle w:val="TableBullet1"/>
              <w:numPr>
                <w:numId w:val="8"/>
              </w:numPr>
              <w:spacing w:before="60" w:after="60" w:line="240" w:lineRule="auto"/>
              <w:ind w:left="284" w:hanging="284"/>
              <w:rPr>
                <w:rStyle w:val="DefaultParagraphFont"/>
                <w:rFonts w:asciiTheme="minorHAnsi" w:eastAsiaTheme="minorHAnsi" w:hAnsiTheme="minorHAnsi" w:cstheme="minorHAnsi"/>
                <w:sz w:val="19"/>
                <w:szCs w:val="22"/>
                <w:lang w:val="en-AU" w:eastAsia="en-US" w:bidi="ar-SA"/>
              </w:rPr>
            </w:pPr>
            <w:r w:rsidRPr="00633E51">
              <w:rPr>
                <w:rFonts w:asciiTheme="minorHAnsi" w:eastAsiaTheme="minorHAnsi" w:hAnsiTheme="minorHAnsi" w:cstheme="minorHAnsi"/>
                <w:sz w:val="18"/>
                <w:szCs w:val="22"/>
                <w:lang w:val="en-US" w:eastAsia="en-US" w:bidi="ar-SA"/>
              </w:rPr>
              <w:t>For sheep, horns longer than 1 full curl*</w:t>
            </w:r>
          </w:p>
          <w:p w:rsidR="000D35BF" w:rsidRPr="00633E51" w:rsidP="00C64E4F">
            <w:pPr>
              <w:pStyle w:val="TableBullet1"/>
              <w:numPr>
                <w:numId w:val="8"/>
              </w:numPr>
              <w:spacing w:before="60" w:after="60" w:line="240" w:lineRule="auto"/>
              <w:ind w:left="284" w:hanging="284"/>
              <w:rPr>
                <w:rStyle w:val="DefaultParagraphFont"/>
                <w:rFonts w:asciiTheme="minorHAnsi" w:eastAsiaTheme="minorHAnsi" w:hAnsiTheme="minorHAnsi" w:cstheme="minorHAnsi"/>
                <w:sz w:val="19"/>
                <w:szCs w:val="22"/>
                <w:lang w:val="en-AU" w:eastAsia="en-US" w:bidi="ar-SA"/>
              </w:rPr>
            </w:pPr>
            <w:r w:rsidRPr="00633E51">
              <w:rPr>
                <w:rFonts w:asciiTheme="minorHAnsi" w:eastAsiaTheme="minorHAnsi" w:hAnsiTheme="minorHAnsi" w:cstheme="minorHAnsi"/>
                <w:sz w:val="18"/>
                <w:szCs w:val="22"/>
                <w:lang w:val="en-US" w:eastAsia="en-US" w:bidi="ar-SA"/>
              </w:rPr>
              <w:t>For cattle, horns longer than 12cm**</w:t>
            </w:r>
          </w:p>
          <w:p w:rsidR="000D35BF" w:rsidRPr="00BC51A1" w:rsidP="00C64E4F">
            <w:pPr>
              <w:pStyle w:val="TableBullet1"/>
              <w:numPr>
                <w:numId w:val="8"/>
              </w:numPr>
              <w:spacing w:before="60" w:after="60" w:line="240" w:lineRule="auto"/>
              <w:ind w:left="284" w:hanging="284"/>
              <w:rPr>
                <w:rStyle w:val="DefaultParagraphFont"/>
                <w:rFonts w:asciiTheme="minorHAnsi" w:eastAsiaTheme="minorHAnsi" w:hAnsiTheme="minorHAnsi" w:cstheme="minorHAnsi"/>
                <w:sz w:val="19"/>
                <w:szCs w:val="22"/>
                <w:lang w:val="en-AU" w:eastAsia="en-US" w:bidi="ar-SA"/>
              </w:rPr>
            </w:pPr>
            <w:r w:rsidRPr="00BC51A1">
              <w:rPr>
                <w:rFonts w:asciiTheme="minorHAnsi" w:eastAsiaTheme="minorHAnsi" w:hAnsiTheme="minorHAnsi" w:cstheme="minorHAnsi"/>
                <w:sz w:val="18"/>
                <w:szCs w:val="22"/>
                <w:lang w:val="en-US" w:eastAsia="en-US" w:bidi="ar-SA"/>
              </w:rPr>
              <w:t xml:space="preserve">Scabby </w:t>
            </w:r>
            <w:r w:rsidRPr="00BC51A1">
              <w:rPr>
                <w:rFonts w:asciiTheme="minorHAnsi" w:eastAsiaTheme="minorHAnsi" w:hAnsiTheme="minorHAnsi" w:cstheme="minorHAnsi"/>
                <w:sz w:val="18"/>
                <w:szCs w:val="22"/>
                <w:lang w:val="en-US" w:eastAsia="en-US" w:bidi="ar-SA"/>
              </w:rPr>
              <w:t>mouth</w:t>
            </w:r>
          </w:p>
        </w:tc>
      </w:tr>
      <w:tr w:rsidTr="00C64E4F">
        <w:tblPrEx>
          <w:tblW w:w="5000" w:type="pct"/>
          <w:tblInd w:w="0" w:type="dxa"/>
          <w:tblCellMar>
            <w:top w:w="0" w:type="dxa"/>
            <w:left w:w="108" w:type="dxa"/>
            <w:bottom w:w="0" w:type="dxa"/>
            <w:right w:w="108" w:type="dxa"/>
          </w:tblCellMar>
          <w:tblLook w:val="01E0"/>
        </w:tblPrEx>
        <w:trPr>
          <w:trHeight w:val="846"/>
        </w:trPr>
        <w:tc>
          <w:tcPr>
            <w:tcW w:w="1223" w:type="pct"/>
            <w:tcBorders>
              <w:top w:val="single" w:sz="4" w:space="0" w:color="auto"/>
            </w:tcBorders>
          </w:tcPr>
          <w:p w:rsidR="000D35BF" w:rsidRPr="00BC51A1" w:rsidP="00C64E4F">
            <w:pPr>
              <w:pStyle w:val="TableText"/>
              <w:spacing w:before="60" w:after="60"/>
              <w:rPr>
                <w:rStyle w:val="DefaultParagraphFont"/>
                <w:rFonts w:eastAsia="Times New Roman" w:asciiTheme="minorHAnsi" w:hAnsiTheme="minorHAnsi" w:cstheme="minorHAnsi"/>
                <w:color w:val="000000"/>
                <w:sz w:val="19"/>
                <w:szCs w:val="22"/>
                <w:lang w:val="en-GB" w:eastAsia="en-AU" w:bidi="ar-SA"/>
              </w:rPr>
            </w:pPr>
            <w:r w:rsidRPr="00BC51A1">
              <w:rPr>
                <w:rFonts w:asciiTheme="minorHAnsi" w:eastAsiaTheme="minorHAnsi" w:hAnsiTheme="minorHAnsi" w:cstheme="minorHAnsi"/>
                <w:color w:val="000000"/>
                <w:sz w:val="18"/>
                <w:szCs w:val="22"/>
                <w:lang w:val="en-AU" w:eastAsia="en-US" w:bidi="ar-SA"/>
              </w:rPr>
              <w:t>Other</w:t>
            </w:r>
          </w:p>
        </w:tc>
        <w:tc>
          <w:tcPr>
            <w:tcW w:w="3777" w:type="pct"/>
            <w:tcBorders>
              <w:top w:val="single" w:sz="4" w:space="0" w:color="auto"/>
            </w:tcBorders>
          </w:tcPr>
          <w:p w:rsidR="000D35BF" w:rsidRPr="00BC51A1" w:rsidP="00C64E4F">
            <w:pPr>
              <w:pStyle w:val="TableBullet1"/>
              <w:numPr>
                <w:numId w:val="8"/>
              </w:numPr>
              <w:spacing w:before="60" w:after="60" w:line="240" w:lineRule="auto"/>
              <w:ind w:left="284" w:hanging="284"/>
              <w:rPr>
                <w:rStyle w:val="DefaultParagraphFont"/>
                <w:rFonts w:asciiTheme="minorHAnsi" w:eastAsiaTheme="minorHAnsi" w:hAnsiTheme="minorHAnsi" w:cstheme="minorHAnsi"/>
                <w:sz w:val="19"/>
                <w:szCs w:val="22"/>
                <w:lang w:val="en-AU" w:eastAsia="en-AU" w:bidi="ar-SA"/>
              </w:rPr>
            </w:pPr>
            <w:r w:rsidRPr="00BC51A1">
              <w:rPr>
                <w:rFonts w:asciiTheme="minorHAnsi" w:eastAsiaTheme="minorHAnsi" w:hAnsiTheme="minorHAnsi" w:cstheme="minorHAnsi"/>
                <w:sz w:val="18"/>
                <w:szCs w:val="22"/>
                <w:lang w:val="en-AU" w:eastAsia="en-AU" w:bidi="ar-SA"/>
              </w:rPr>
              <w:t>Groups of animals with unusual mortalities</w:t>
            </w:r>
          </w:p>
          <w:p w:rsidR="000D35BF" w:rsidRPr="00BC51A1" w:rsidP="00C64E4F">
            <w:pPr>
              <w:pStyle w:val="TableBullet1"/>
              <w:numPr>
                <w:numId w:val="8"/>
              </w:numPr>
              <w:spacing w:before="60" w:after="60" w:line="240" w:lineRule="auto"/>
              <w:ind w:left="284" w:hanging="284"/>
              <w:rPr>
                <w:rStyle w:val="DefaultParagraphFont"/>
                <w:rFonts w:asciiTheme="minorHAnsi" w:eastAsiaTheme="minorHAnsi" w:hAnsiTheme="minorHAnsi" w:cstheme="minorHAnsi"/>
                <w:sz w:val="19"/>
                <w:szCs w:val="22"/>
                <w:lang w:val="en-AU" w:eastAsia="en-AU" w:bidi="ar-SA"/>
              </w:rPr>
            </w:pPr>
            <w:r w:rsidRPr="00BC51A1">
              <w:rPr>
                <w:rFonts w:asciiTheme="minorHAnsi" w:eastAsiaTheme="minorHAnsi" w:hAnsiTheme="minorHAnsi" w:cstheme="minorHAnsi"/>
                <w:sz w:val="18"/>
                <w:szCs w:val="22"/>
                <w:lang w:val="en-AU" w:eastAsia="en-AU" w:bidi="ar-SA"/>
              </w:rPr>
              <w:t>Disparities in sex, size, weight or age that could cause an issue with the health or welfare of the animals (redraft animals in this case)</w:t>
            </w:r>
          </w:p>
        </w:tc>
      </w:tr>
    </w:tbl>
    <w:p w:rsidR="000D35BF" w:rsidRPr="00555DAB" w:rsidP="000D35BF">
      <w:pPr>
        <w:pStyle w:val="FigureTableNoteSource"/>
      </w:pPr>
      <w:bookmarkEnd w:id="1"/>
      <w:r w:rsidRPr="00555DAB">
        <w:t xml:space="preserve">* unless otherwise provided in a relevant management plan approved </w:t>
      </w:r>
      <w:r w:rsidR="00222DAF">
        <w:t xml:space="preserve">in writing </w:t>
      </w:r>
      <w:r w:rsidRPr="00555DAB">
        <w:t>by the department</w:t>
      </w:r>
    </w:p>
    <w:p w:rsidR="00047F84" w:rsidP="001F0CEF">
      <w:pPr>
        <w:pStyle w:val="FigureTableNoteSource"/>
      </w:pPr>
      <w:r w:rsidRPr="00555DAB">
        <w:t xml:space="preserve">** horns may be longer than 12 cm if they are pointing downwards parallel to the face or unless otherwise provided in a relevant management plan approved </w:t>
      </w:r>
      <w:r w:rsidR="00222DAF">
        <w:t xml:space="preserve">in writing </w:t>
      </w:r>
      <w:r w:rsidRPr="00555DAB">
        <w:t>by the department</w:t>
      </w:r>
      <w:r w:rsidR="00786AE7">
        <w:t>.</w:t>
      </w:r>
    </w:p>
    <w:p w:rsidR="001F0CEF" w:rsidP="001C3F20">
      <w:pPr>
        <w:pStyle w:val="Heading2"/>
      </w:pPr>
      <w:r w:rsidRPr="00047F84">
        <w:t>Reserve fodder requirements</w:t>
      </w:r>
    </w:p>
    <w:p w:rsidR="00356EB8" w:rsidP="00BA1C68">
      <w:pPr>
        <w:pStyle w:val="BoxHeading"/>
      </w:pPr>
      <w:r>
        <w:t>Summary of feedback:</w:t>
      </w:r>
    </w:p>
    <w:p w:rsidR="00356EB8" w:rsidRPr="001F3A3E" w:rsidP="00BA1C68">
      <w:pPr>
        <w:pStyle w:val="BoxText"/>
      </w:pPr>
      <w:r>
        <w:t xml:space="preserve">Feedback varied on </w:t>
      </w:r>
      <w:r>
        <w:t>this matter, with several alternative reserve fodder requirements proposed. Alternative suggestions included to carry an</w:t>
      </w:r>
      <w:r w:rsidRPr="00EE77E9">
        <w:t xml:space="preserve"> additional 20% or </w:t>
      </w:r>
      <w:r>
        <w:t>3</w:t>
      </w:r>
      <w:r w:rsidRPr="00EE77E9">
        <w:t xml:space="preserve"> days of reserve feed</w:t>
      </w:r>
      <w:r>
        <w:t xml:space="preserve"> to harmonise with Marine Order 43 in relation to back-up power and water level requirements, to revert to ASEL 2.3 levels, or to carry an additional 30% or 2 days of reserve fodder. No science or evidence was provided to support these suggestions. </w:t>
      </w:r>
      <w:r w:rsidRPr="001F3A3E">
        <w:t>Initially industry did not support the department’s preferred option (3) but later requested this opti</w:t>
      </w:r>
      <w:r w:rsidRPr="001F3A3E">
        <w:t>on be implemented for Indonesian voyages on a temporary basis.</w:t>
      </w:r>
    </w:p>
    <w:p w:rsidR="00356EB8" w:rsidP="00BA1C68">
      <w:pPr>
        <w:pStyle w:val="BoxText"/>
      </w:pPr>
      <w:r>
        <w:t>One industry body stated there did not appear to be systemic issues with feed availability.</w:t>
      </w:r>
    </w:p>
    <w:p w:rsidR="00356EB8" w:rsidP="00BA1C68">
      <w:pPr>
        <w:pStyle w:val="BoxText"/>
      </w:pPr>
      <w:r>
        <w:t>There was broad support amongst some stakeholders for a minimum recommended voyage length policy, with some suggesting there should be no change to current reserve fodder requirements unless this policy is adopted.</w:t>
      </w:r>
    </w:p>
    <w:p w:rsidR="00356EB8" w:rsidP="00BA1C68">
      <w:pPr>
        <w:pStyle w:val="BoxText"/>
      </w:pPr>
      <w:r>
        <w:t>Some feedback suggested weight verification of livestock at the port via weighbridge to improve accuracy and minimize the risk of inadequate fodder provision onboard.</w:t>
      </w:r>
    </w:p>
    <w:p w:rsidR="00356EB8" w:rsidP="00BA1C68">
      <w:pPr>
        <w:pStyle w:val="BoxHeading"/>
      </w:pPr>
      <w:r>
        <w:t>Department response</w:t>
      </w:r>
      <w:r w:rsidRPr="00145609">
        <w:t>:</w:t>
      </w:r>
    </w:p>
    <w:p w:rsidR="00356EB8" w:rsidP="00BA1C68">
      <w:pPr>
        <w:pStyle w:val="BoxText"/>
      </w:pPr>
      <w:r>
        <w:t>The proposed amendments have been finalised with changes.</w:t>
      </w:r>
    </w:p>
    <w:p w:rsidR="00356EB8" w:rsidRPr="001F3A3E" w:rsidP="00BA1C68">
      <w:pPr>
        <w:pStyle w:val="BoxText"/>
      </w:pPr>
      <w:r>
        <w:t>Following public consultation,</w:t>
      </w:r>
      <w:r w:rsidRPr="001F3A3E">
        <w:t xml:space="preserve"> another option</w:t>
      </w:r>
      <w:r>
        <w:t xml:space="preserve"> (Option 4)</w:t>
      </w:r>
      <w:r w:rsidRPr="001F3A3E">
        <w:t xml:space="preserve"> was identified for consideration</w:t>
      </w:r>
      <w:r>
        <w:t xml:space="preserve"> which combines Options 1 and 3</w:t>
      </w:r>
      <w:r w:rsidRPr="001F3A3E">
        <w:t>:</w:t>
      </w:r>
    </w:p>
    <w:p w:rsidR="00356EB8" w:rsidRPr="00EC3FEF" w:rsidP="00BA1C68">
      <w:pPr>
        <w:pStyle w:val="BoxText"/>
        <w:rPr>
          <w:i/>
          <w:iCs/>
        </w:rPr>
      </w:pPr>
      <w:r w:rsidRPr="001F3A3E">
        <w:rPr>
          <w:rFonts w:cstheme="minorHAnsi"/>
          <w:b/>
          <w:bCs/>
        </w:rPr>
        <w:t>Option 4:</w:t>
      </w:r>
      <w:r w:rsidRPr="001F3A3E">
        <w:rPr>
          <w:rFonts w:cstheme="minorHAnsi"/>
        </w:rPr>
        <w:t xml:space="preserve"> </w:t>
      </w:r>
      <w:r w:rsidRPr="00EC3FEF">
        <w:rPr>
          <w:rFonts w:cstheme="minorHAnsi"/>
          <w:i/>
          <w:iCs/>
        </w:rPr>
        <w:t>To manage daily feed requirements when a voyage experiences a delay</w:t>
      </w:r>
      <w:r>
        <w:rPr>
          <w:rFonts w:cstheme="minorHAnsi"/>
          <w:i/>
          <w:iCs/>
        </w:rPr>
        <w:t>,</w:t>
      </w:r>
      <w:r w:rsidRPr="00EC3FEF">
        <w:rPr>
          <w:rFonts w:cstheme="minorHAnsi"/>
          <w:i/>
          <w:iCs/>
        </w:rPr>
        <w:t xml:space="preserve"> </w:t>
      </w:r>
      <w:r w:rsidRPr="00EC3FEF">
        <w:rPr>
          <w:i/>
          <w:iCs/>
        </w:rPr>
        <w:t>a minimum of:</w:t>
      </w:r>
    </w:p>
    <w:p w:rsidR="00356EB8" w:rsidRPr="00EC3FEF" w:rsidP="0034645A">
      <w:pPr>
        <w:pStyle w:val="BoxTextBullet"/>
        <w:numPr>
          <w:ilvl w:val="0"/>
          <w:numId w:val="60"/>
        </w:numPr>
        <w:rPr>
          <w:rFonts w:cstheme="minorHAnsi"/>
        </w:rPr>
      </w:pPr>
      <w:r w:rsidRPr="00EC3FEF">
        <w:t>20% or 2 days of reserve feed, whichever is greater, must be loaded on the vessel for consignments of less than 15 days</w:t>
      </w:r>
      <w:r w:rsidR="00333E48">
        <w:t>;</w:t>
      </w:r>
      <w:r w:rsidRPr="00EC3FEF">
        <w:t xml:space="preserve"> or</w:t>
      </w:r>
    </w:p>
    <w:p w:rsidR="00356EB8" w:rsidRPr="00EC3FEF" w:rsidP="0034645A">
      <w:pPr>
        <w:pStyle w:val="BoxTextBullet"/>
        <w:numPr>
          <w:ilvl w:val="0"/>
          <w:numId w:val="60"/>
        </w:numPr>
        <w:rPr>
          <w:rFonts w:cstheme="minorHAnsi"/>
        </w:rPr>
      </w:pPr>
      <w:r w:rsidRPr="00EC3FEF">
        <w:t>3 days of reserve feed must be loaded on the vessel for consignments of 15 days or greater.</w:t>
      </w:r>
    </w:p>
    <w:p w:rsidR="00356EB8" w:rsidRPr="001F3A3E" w:rsidP="00BA1C68">
      <w:pPr>
        <w:pStyle w:val="BoxText"/>
      </w:pPr>
      <w:r w:rsidRPr="001F3A3E">
        <w:t>Under Option 4, the reserve feed requirement:</w:t>
      </w:r>
    </w:p>
    <w:p w:rsidR="00356EB8" w:rsidRPr="001F3A3E" w:rsidP="0034645A">
      <w:pPr>
        <w:pStyle w:val="BoxTextBullet"/>
      </w:pPr>
      <w:r w:rsidRPr="001F3A3E">
        <w:t>decreases from 3 days to 2 days for consignments less than 10 days, and</w:t>
      </w:r>
    </w:p>
    <w:p w:rsidR="00356EB8" w:rsidRPr="001F3A3E" w:rsidP="0034645A">
      <w:pPr>
        <w:pStyle w:val="BoxTextBullet"/>
      </w:pPr>
      <w:r w:rsidRPr="001F3A3E">
        <w:t>increases incrementally up to 3 days for consignments between 10 and 15 days (i.e. 2.2 for 11 days, 2.4 for 12 days etc.), and</w:t>
      </w:r>
    </w:p>
    <w:p w:rsidR="00356EB8" w:rsidRPr="001F3A3E" w:rsidP="0034645A">
      <w:pPr>
        <w:pStyle w:val="BoxTextBullet"/>
      </w:pPr>
      <w:r w:rsidRPr="001F3A3E">
        <w:t>is a minimum of 3 days for consignments of 15 days or more, and</w:t>
      </w:r>
    </w:p>
    <w:p w:rsidR="00356EB8" w:rsidRPr="001F3A3E" w:rsidP="0034645A">
      <w:pPr>
        <w:pStyle w:val="BoxTextBullet"/>
      </w:pPr>
      <w:r w:rsidRPr="001F3A3E">
        <w:t>remains unchanged for extended long-haul consignments</w:t>
      </w:r>
      <w:r>
        <w:t>.</w:t>
      </w:r>
    </w:p>
    <w:p w:rsidR="00356EB8" w:rsidRPr="001F3A3E" w:rsidP="00BA1C68">
      <w:pPr>
        <w:pStyle w:val="BoxText"/>
        <w:rPr>
          <w:rFonts w:cstheme="minorHAnsi"/>
        </w:rPr>
      </w:pPr>
      <w:r w:rsidRPr="001F3A3E">
        <w:t xml:space="preserve">Options 1 and 3 were both modelled and provided for public consultation. </w:t>
      </w:r>
      <w:r>
        <w:t>The data set included a</w:t>
      </w:r>
      <w:r w:rsidRPr="001F3A3E">
        <w:t xml:space="preserve">ll </w:t>
      </w:r>
      <w:r w:rsidRPr="001F3A3E">
        <w:rPr>
          <w:rFonts w:cstheme="minorHAnsi"/>
        </w:rPr>
        <w:t>cattle consignments departing Australia to all single destination ports and regions from 1 November 2020 to 31 December 2022 (accounting for around 80% of all cattle exports). Of these, 85% completed the voyage in less than 15 days.</w:t>
      </w:r>
    </w:p>
    <w:p w:rsidR="00356EB8" w:rsidP="00BA1C68">
      <w:pPr>
        <w:pStyle w:val="BoxText"/>
      </w:pPr>
      <w:r>
        <w:t>This a</w:t>
      </w:r>
      <w:r w:rsidRPr="001F3A3E">
        <w:t>nalysis</w:t>
      </w:r>
      <w:r>
        <w:t xml:space="preserve"> </w:t>
      </w:r>
      <w:r w:rsidRPr="001F3A3E">
        <w:t>indicate</w:t>
      </w:r>
      <w:r>
        <w:t>d</w:t>
      </w:r>
      <w:r w:rsidRPr="001F3A3E">
        <w:t xml:space="preserve"> that if the issue of voyage length underestimation is resolved, </w:t>
      </w:r>
      <w:r>
        <w:t xml:space="preserve">both </w:t>
      </w:r>
      <w:r w:rsidRPr="001F3A3E">
        <w:t>Options 1 and 3</w:t>
      </w:r>
      <w:r>
        <w:t xml:space="preserve"> provide assurance that reserve fodder levels would be adequate in the event of a voyage delay. Therefore, the revised reserve feed requirements in Option 4, when implemented with a minimum recommended voyage length policy, </w:t>
      </w:r>
      <w:r w:rsidRPr="001F3A3E">
        <w:t>provides</w:t>
      </w:r>
      <w:r>
        <w:t xml:space="preserve"> sufficient</w:t>
      </w:r>
      <w:r w:rsidRPr="001F3A3E">
        <w:t xml:space="preserve"> assurance for voyages </w:t>
      </w:r>
      <w:r>
        <w:t>(</w:t>
      </w:r>
      <w:r w:rsidRPr="001F3A3E">
        <w:t xml:space="preserve">both less </w:t>
      </w:r>
      <w:r>
        <w:t xml:space="preserve">than </w:t>
      </w:r>
      <w:r w:rsidRPr="001F3A3E">
        <w:t>and greater than 15 days</w:t>
      </w:r>
      <w:r>
        <w:t>)</w:t>
      </w:r>
      <w:r w:rsidRPr="001F3A3E">
        <w:t xml:space="preserve"> and reduces the financial impact of reserve fodder requirements for some voyages</w:t>
      </w:r>
      <w:r>
        <w:t xml:space="preserve"> (&lt; 15 days)</w:t>
      </w:r>
      <w:r w:rsidRPr="001F3A3E">
        <w:t>.</w:t>
      </w:r>
    </w:p>
    <w:p w:rsidR="00356EB8" w:rsidRPr="00356EB8" w:rsidP="00BA1C68">
      <w:pPr>
        <w:pStyle w:val="BoxText"/>
        <w:rPr>
          <w:rFonts w:cstheme="minorHAnsi"/>
        </w:rPr>
      </w:pPr>
      <w:r>
        <w:rPr>
          <w:rFonts w:cstheme="minorHAnsi"/>
        </w:rPr>
        <w:t>The suggestion for weight verification of livestock by using a weighbridge at the port is outside the scope of the 2023 ASEL review and is an operational policy matter. It has been recorded for consideration in a separate process.</w:t>
      </w:r>
    </w:p>
    <w:p w:rsidR="003C7174" w:rsidRPr="0024550C" w:rsidP="001C3F20">
      <w:pPr>
        <w:pStyle w:val="Heading3"/>
        <w:numPr>
          <w:ilvl w:val="0"/>
          <w:numId w:val="0"/>
        </w:numPr>
      </w:pPr>
      <w:r w:rsidRPr="008A12D9">
        <w:rPr>
          <w:rFonts w:eastAsiaTheme="minorEastAsia"/>
          <w:lang w:eastAsia="ja-JP"/>
        </w:rPr>
        <w:t xml:space="preserve">Amended </w:t>
      </w:r>
      <w:r>
        <w:rPr>
          <w:rFonts w:eastAsiaTheme="minorEastAsia"/>
          <w:lang w:eastAsia="ja-JP"/>
        </w:rPr>
        <w:t>standard</w:t>
      </w:r>
      <w:r w:rsidRPr="008A12D9">
        <w:rPr>
          <w:rFonts w:eastAsiaTheme="minorEastAsia"/>
          <w:lang w:eastAsia="ja-JP"/>
        </w:rPr>
        <w:t xml:space="preserve"> </w:t>
      </w:r>
      <w:r>
        <w:rPr>
          <w:rFonts w:eastAsiaTheme="minorEastAsia"/>
          <w:lang w:eastAsia="ja-JP"/>
        </w:rPr>
        <w:t>for ASEL 3.3</w:t>
      </w:r>
    </w:p>
    <w:p w:rsidR="000D35BF" w:rsidRPr="001C3F20" w:rsidP="001C3F20">
      <w:pPr>
        <w:rPr>
          <w:b/>
          <w:bCs/>
          <w:i/>
          <w:iCs/>
        </w:rPr>
      </w:pPr>
      <w:r w:rsidRPr="001C3F20">
        <w:rPr>
          <w:i/>
          <w:iCs/>
          <w:sz w:val="28"/>
          <w:szCs w:val="28"/>
        </w:rPr>
        <w:t>(</w:t>
      </w:r>
      <w:r w:rsidRPr="001C3F20">
        <w:rPr>
          <w:i/>
          <w:iCs/>
        </w:rPr>
        <w:t>This version of Standard 5.1.15 comes into force from 3 April 2024</w:t>
      </w:r>
      <w:r w:rsidRPr="001C3F20" w:rsidR="00047F84">
        <w:rPr>
          <w:i/>
          <w:iCs/>
        </w:rPr>
        <w:t>)</w:t>
      </w:r>
    </w:p>
    <w:p w:rsidR="000D35BF" w:rsidRPr="009C2DDE" w:rsidP="000D35BF">
      <w:pPr>
        <w:rPr>
          <w:rFonts w:cstheme="minorHAnsi"/>
        </w:rPr>
      </w:pPr>
      <w:r w:rsidRPr="009C2DDE">
        <w:rPr>
          <w:rFonts w:cstheme="minorHAnsi"/>
          <w:b/>
          <w:bCs/>
        </w:rPr>
        <w:t>5.1.15</w:t>
      </w:r>
      <w:r w:rsidRPr="009C2DDE">
        <w:rPr>
          <w:rFonts w:cstheme="minorHAnsi"/>
        </w:rPr>
        <w:t xml:space="preserve"> To manage daily feed requirements when a voyage experiences a delay, a minimum of: </w:t>
      </w:r>
    </w:p>
    <w:p w:rsidR="000D35BF" w:rsidRPr="009C2DDE" w:rsidP="006E1561">
      <w:pPr>
        <w:pStyle w:val="ListNumber2"/>
        <w:numPr>
          <w:ilvl w:val="1"/>
          <w:numId w:val="50"/>
        </w:numPr>
        <w:ind w:left="284" w:hanging="284"/>
      </w:pPr>
      <w:r w:rsidRPr="009C2DDE">
        <w:t xml:space="preserve">20% or 2 days of reserve feed, whichever is greater, must be loaded on the vessel for consignments of less than 15 </w:t>
      </w:r>
      <w:r w:rsidRPr="009C2DDE">
        <w:t>days, or</w:t>
      </w:r>
    </w:p>
    <w:p w:rsidR="000D35BF" w:rsidRPr="009C2DDE" w:rsidP="006E1561">
      <w:pPr>
        <w:pStyle w:val="ListNumber2"/>
      </w:pPr>
      <w:r w:rsidRPr="009C2DDE">
        <w:t>3 days of reserve feed must be loaded on the vessel for consignments of 15 days or greater.</w:t>
      </w:r>
    </w:p>
    <w:p w:rsidR="000D35BF" w:rsidP="000D35BF">
      <w:r w:rsidRPr="009C2DDE">
        <w:t>The reserve feed requirement is in addition to the calculated daily feed provisions for the recommended voyage length. Reserve feed must only be used if a delay is experienced during the voyage.</w:t>
      </w:r>
    </w:p>
    <w:p w:rsidR="003C7174" w:rsidP="001C3F20">
      <w:pPr>
        <w:pStyle w:val="Heading2"/>
      </w:pPr>
      <w:r w:rsidRPr="001628CE">
        <w:t>Competent stock handler on aircraft</w:t>
      </w:r>
    </w:p>
    <w:p w:rsidR="00356EB8" w:rsidP="00BA1C68">
      <w:pPr>
        <w:pStyle w:val="BoxHeading"/>
      </w:pPr>
      <w:r>
        <w:t>Summary of feedback:</w:t>
      </w:r>
    </w:p>
    <w:p w:rsidR="00356EB8" w:rsidP="00BA1C68">
      <w:pPr>
        <w:pStyle w:val="BoxText"/>
      </w:pPr>
      <w:r>
        <w:t>Most feedback</w:t>
      </w:r>
      <w:r w:rsidRPr="0071651D">
        <w:t xml:space="preserve"> </w:t>
      </w:r>
      <w:r>
        <w:t xml:space="preserve">acknowledged the logistical difficulty of inspecting and accessing livestock during flights, however, some animal welfare </w:t>
      </w:r>
      <w:r>
        <w:t>organisations suggested</w:t>
      </w:r>
      <w:r w:rsidRPr="0071651D">
        <w:t xml:space="preserve"> </w:t>
      </w:r>
      <w:r>
        <w:t xml:space="preserve">a </w:t>
      </w:r>
      <w:r w:rsidRPr="002F0F3D">
        <w:t>competent</w:t>
      </w:r>
      <w:r w:rsidRPr="0071651D">
        <w:t xml:space="preserve"> stock</w:t>
      </w:r>
      <w:r>
        <w:t xml:space="preserve"> </w:t>
      </w:r>
      <w:r w:rsidRPr="0071651D">
        <w:t xml:space="preserve">handler </w:t>
      </w:r>
      <w:r>
        <w:t>should accompany</w:t>
      </w:r>
      <w:r w:rsidRPr="0071651D">
        <w:t xml:space="preserve"> every flight</w:t>
      </w:r>
      <w:r>
        <w:t xml:space="preserve"> to ensure livestock could be inspected and/or treated at appropriate times. An animal welfare organisation suggested that closed circuit television (CCTV) cameras on aircraft could provide additional oversight, particularly if a competent stock handler was unable to travel with livestock.</w:t>
      </w:r>
    </w:p>
    <w:p w:rsidR="00356EB8" w:rsidP="00BA1C68">
      <w:pPr>
        <w:pStyle w:val="BoxText"/>
      </w:pPr>
      <w:r>
        <w:t>Feedback varied on the proposed use of environmental data loggers in crates during air transport. Some supported the use of data loggers stating they would provide additional information for the department’s consideration. Some industry members questioned the benefit of placing data loggers in crates, stating they could be easily damaged by livestock and temperature measurement systems on aircraft were already in place. Other feedback questioned the practicality of attaching and retrieving loggers from disp</w:t>
      </w:r>
      <w:r>
        <w:t>osable crates.</w:t>
      </w:r>
    </w:p>
    <w:p w:rsidR="00356EB8" w:rsidP="00BA1C68">
      <w:pPr>
        <w:pStyle w:val="BoxHeading"/>
      </w:pPr>
      <w:r>
        <w:t>Department response:</w:t>
      </w:r>
    </w:p>
    <w:p w:rsidR="00356EB8" w:rsidP="00BA1C68">
      <w:pPr>
        <w:pStyle w:val="BoxText"/>
      </w:pPr>
      <w:r>
        <w:t>The proposed amendments have been finalised without further changes.</w:t>
      </w:r>
    </w:p>
    <w:p w:rsidR="00356EB8" w:rsidP="00BA1C68">
      <w:pPr>
        <w:pStyle w:val="BoxText"/>
      </w:pPr>
      <w:r>
        <w:t xml:space="preserve">The deletion of standards 6.1.24 and 6.1.25 acknowledges the findings from the </w:t>
      </w:r>
      <w:r w:rsidRPr="00642545">
        <w:t>Technical Advisory Committee (TAC)</w:t>
      </w:r>
      <w:r w:rsidRPr="00892B89">
        <w:t xml:space="preserve"> </w:t>
      </w:r>
      <w:r>
        <w:t xml:space="preserve">which </w:t>
      </w:r>
      <w:r w:rsidRPr="00892B89">
        <w:t xml:space="preserve">noted </w:t>
      </w:r>
      <w:r w:rsidRPr="008C2076">
        <w:rPr>
          <w:i/>
          <w:iCs/>
        </w:rPr>
        <w:t>‘that the opportunity for, and welfare benefits of, inspecting livestock during flight are limited</w:t>
      </w:r>
      <w:r w:rsidRPr="00892B89">
        <w:t>.</w:t>
      </w:r>
      <w:r>
        <w:t>’</w:t>
      </w:r>
      <w:r w:rsidRPr="00892B89">
        <w:t xml:space="preserve"> </w:t>
      </w:r>
      <w:r>
        <w:t>The changes also align ASEL with a</w:t>
      </w:r>
      <w:r w:rsidRPr="00892B89">
        <w:t>irline protocols and</w:t>
      </w:r>
      <w:r>
        <w:t xml:space="preserve"> </w:t>
      </w:r>
      <w:r w:rsidRPr="00892B89">
        <w:t>I</w:t>
      </w:r>
      <w:r>
        <w:t>nternational Air Transport Association (I</w:t>
      </w:r>
      <w:r w:rsidRPr="00892B89">
        <w:t>ATA</w:t>
      </w:r>
      <w:r>
        <w:t>)</w:t>
      </w:r>
      <w:r w:rsidRPr="00892B89">
        <w:t xml:space="preserve"> regulations</w:t>
      </w:r>
      <w:r>
        <w:t xml:space="preserve"> which</w:t>
      </w:r>
      <w:r w:rsidRPr="00892B89">
        <w:t xml:space="preserve"> impose restrictions on accessing cargo holds during flights</w:t>
      </w:r>
      <w:r>
        <w:t>.</w:t>
      </w:r>
    </w:p>
    <w:p w:rsidR="00356EB8" w:rsidRPr="00892B89" w:rsidP="00BA1C68">
      <w:pPr>
        <w:pStyle w:val="BoxText"/>
      </w:pPr>
      <w:r>
        <w:t>The changes to</w:t>
      </w:r>
      <w:r w:rsidRPr="00892B89">
        <w:t xml:space="preserve"> standard 6.1.26 (b) </w:t>
      </w:r>
      <w:r>
        <w:t xml:space="preserve">acknowledge findings from the </w:t>
      </w:r>
      <w:r w:rsidRPr="00892B89">
        <w:t>TAC</w:t>
      </w:r>
      <w:r>
        <w:t xml:space="preserve"> which</w:t>
      </w:r>
      <w:r w:rsidRPr="00892B89">
        <w:t xml:space="preserve"> identified that in-air livestock inspection may create higher stress levels in animals. IATA regulations and industry best-practice research echo this view, that livestock travel best if they are disturbed as little as possible during the flight.</w:t>
      </w:r>
    </w:p>
    <w:p w:rsidR="00356EB8" w:rsidRPr="00356EB8" w:rsidP="00BA1C68">
      <w:pPr>
        <w:pStyle w:val="BoxText"/>
      </w:pPr>
      <w:r>
        <w:t>The changes in standards 6.1.27 and 6.1.29 simplify wording by using the existing ASEL definition of ‘</w:t>
      </w:r>
      <w:r w:rsidRPr="001422FA">
        <w:rPr>
          <w:i/>
          <w:iCs/>
        </w:rPr>
        <w:t>air export journey</w:t>
      </w:r>
      <w:r>
        <w:rPr>
          <w:i/>
          <w:iCs/>
        </w:rPr>
        <w:t>’</w:t>
      </w:r>
      <w:r w:rsidRPr="001422FA">
        <w:rPr>
          <w:i/>
          <w:iCs/>
        </w:rPr>
        <w:t>.</w:t>
      </w:r>
    </w:p>
    <w:p w:rsidR="005E5BA6" w:rsidP="001C3F20">
      <w:pPr>
        <w:pStyle w:val="Heading3"/>
        <w:numPr>
          <w:ilvl w:val="0"/>
          <w:numId w:val="0"/>
        </w:numPr>
        <w:rPr>
          <w:i/>
          <w:iCs/>
          <w:sz w:val="28"/>
          <w:szCs w:val="28"/>
        </w:rPr>
      </w:pPr>
      <w:r w:rsidRPr="008A12D9">
        <w:rPr>
          <w:rFonts w:eastAsiaTheme="minorEastAsia"/>
          <w:lang w:eastAsia="ja-JP"/>
        </w:rPr>
        <w:t xml:space="preserve">Amended </w:t>
      </w:r>
      <w:r>
        <w:rPr>
          <w:rFonts w:eastAsiaTheme="minorEastAsia"/>
          <w:lang w:eastAsia="ja-JP"/>
        </w:rPr>
        <w:t>standards</w:t>
      </w:r>
      <w:r w:rsidRPr="008A12D9">
        <w:rPr>
          <w:rFonts w:eastAsiaTheme="minorEastAsia"/>
          <w:lang w:eastAsia="ja-JP"/>
        </w:rPr>
        <w:t xml:space="preserve"> </w:t>
      </w:r>
      <w:r>
        <w:rPr>
          <w:rFonts w:eastAsiaTheme="minorEastAsia"/>
          <w:lang w:eastAsia="ja-JP"/>
        </w:rPr>
        <w:t>for ASEL 3.3</w:t>
      </w:r>
    </w:p>
    <w:p w:rsidR="000D35BF" w:rsidRPr="001C3F20" w:rsidP="001C3F20">
      <w:pPr>
        <w:rPr>
          <w:b/>
          <w:bCs/>
          <w:i/>
          <w:iCs/>
        </w:rPr>
      </w:pPr>
      <w:r w:rsidRPr="001C3F20">
        <w:rPr>
          <w:i/>
          <w:iCs/>
        </w:rPr>
        <w:t>(These versions of the Standards 6.1.24, 6.1.25, 6.1.26, 6.1.27 and 6.1.29 come into force on 30 November 2023</w:t>
      </w:r>
      <w:r w:rsidRPr="001C3F20" w:rsidR="004740CB">
        <w:rPr>
          <w:i/>
          <w:iCs/>
        </w:rPr>
        <w:t>)</w:t>
      </w:r>
    </w:p>
    <w:p w:rsidR="000D35BF" w:rsidRPr="009C2DDE" w:rsidP="000D35BF">
      <w:r w:rsidRPr="009C2DDE">
        <w:rPr>
          <w:b/>
          <w:bCs/>
        </w:rPr>
        <w:t>6.1.24</w:t>
      </w:r>
      <w:r w:rsidRPr="009C2DDE">
        <w:t xml:space="preserve"> [deleted]</w:t>
      </w:r>
    </w:p>
    <w:p w:rsidR="000D35BF" w:rsidRPr="009C2DDE" w:rsidP="000D35BF">
      <w:r w:rsidRPr="009C2DDE">
        <w:rPr>
          <w:b/>
          <w:bCs/>
        </w:rPr>
        <w:t>6.1.25</w:t>
      </w:r>
      <w:r w:rsidRPr="009C2DDE">
        <w:t xml:space="preserve"> [deleted]</w:t>
      </w:r>
    </w:p>
    <w:p w:rsidR="000D35BF" w:rsidRPr="009C2DDE" w:rsidP="000D35BF">
      <w:r w:rsidRPr="009C2DDE">
        <w:rPr>
          <w:b/>
          <w:bCs/>
        </w:rPr>
        <w:t>6.1.26</w:t>
      </w:r>
      <w:r w:rsidRPr="009C2DDE">
        <w:t xml:space="preserve"> Livestock must be checked by a competent stock handler appointed by the exporter to ensure they remain healthy and fit to travel for all flights:</w:t>
      </w:r>
    </w:p>
    <w:p w:rsidR="006E1561" w:rsidP="006E1561">
      <w:pPr>
        <w:pStyle w:val="ListNumber2"/>
        <w:numPr>
          <w:ilvl w:val="1"/>
          <w:numId w:val="51"/>
        </w:numPr>
        <w:ind w:left="284" w:hanging="284"/>
      </w:pPr>
      <w:r w:rsidRPr="009C2DDE">
        <w:t>at the last reasonable opportunity before departure of the aircraft; and</w:t>
      </w:r>
    </w:p>
    <w:p w:rsidR="006E1561" w:rsidP="006E1561">
      <w:pPr>
        <w:pStyle w:val="ListNumber2"/>
        <w:numPr>
          <w:ilvl w:val="1"/>
          <w:numId w:val="51"/>
        </w:numPr>
        <w:ind w:left="284" w:hanging="284"/>
      </w:pPr>
      <w:r w:rsidRPr="009C2DDE">
        <w:t>[deleted]</w:t>
      </w:r>
    </w:p>
    <w:p w:rsidR="006E1561" w:rsidP="006E1561">
      <w:pPr>
        <w:pStyle w:val="ListNumber2"/>
        <w:numPr>
          <w:ilvl w:val="1"/>
          <w:numId w:val="51"/>
        </w:numPr>
        <w:ind w:left="284" w:hanging="284"/>
      </w:pPr>
      <w:r w:rsidRPr="009C2DDE">
        <w:t>at the first reasonable opportunity after landing, including during transit/transhipment stops; and</w:t>
      </w:r>
    </w:p>
    <w:p w:rsidR="000D35BF" w:rsidRPr="009C2DDE" w:rsidP="006E1561">
      <w:pPr>
        <w:pStyle w:val="ListNumber2"/>
        <w:numPr>
          <w:ilvl w:val="1"/>
          <w:numId w:val="51"/>
        </w:numPr>
        <w:ind w:left="284" w:hanging="284"/>
      </w:pPr>
      <w:r w:rsidRPr="009C2DDE">
        <w:t>at the last reasonable opportunity before departure including during any transit/transhipment stops.</w:t>
      </w:r>
    </w:p>
    <w:p w:rsidR="000D35BF" w:rsidRPr="009C2DDE" w:rsidP="000D35BF">
      <w:r w:rsidRPr="009C2DDE">
        <w:rPr>
          <w:b/>
          <w:bCs/>
        </w:rPr>
        <w:t>6.1.27</w:t>
      </w:r>
      <w:r w:rsidRPr="009C2DDE">
        <w:t xml:space="preserve"> </w:t>
      </w:r>
      <w:r w:rsidRPr="004740CB">
        <w:t xml:space="preserve">During the air export journey, </w:t>
      </w:r>
      <w:r w:rsidRPr="009C2DDE">
        <w:t xml:space="preserve">any livestock identified as being </w:t>
      </w:r>
      <w:r w:rsidRPr="009C2DDE">
        <w:t>distressed or injured must, where feasible:</w:t>
      </w:r>
    </w:p>
    <w:p w:rsidR="006E1561" w:rsidP="006E1561">
      <w:pPr>
        <w:pStyle w:val="ListNumber2"/>
        <w:numPr>
          <w:ilvl w:val="1"/>
          <w:numId w:val="52"/>
        </w:numPr>
        <w:ind w:left="284" w:hanging="284"/>
      </w:pPr>
      <w:r w:rsidRPr="009C2DDE">
        <w:t>be given prompt treatment; and/or</w:t>
      </w:r>
    </w:p>
    <w:p w:rsidR="006E1561" w:rsidP="006E1561">
      <w:pPr>
        <w:pStyle w:val="ListNumber2"/>
        <w:numPr>
          <w:ilvl w:val="1"/>
          <w:numId w:val="52"/>
        </w:numPr>
        <w:ind w:left="284" w:hanging="284"/>
      </w:pPr>
      <w:r w:rsidRPr="009C2DDE">
        <w:t>be euthanased without delay as necessary; and</w:t>
      </w:r>
    </w:p>
    <w:p w:rsidR="000D35BF" w:rsidRPr="009C2DDE" w:rsidP="006E1561">
      <w:pPr>
        <w:pStyle w:val="ListNumber2"/>
        <w:numPr>
          <w:ilvl w:val="1"/>
          <w:numId w:val="52"/>
        </w:numPr>
        <w:ind w:left="284" w:hanging="284"/>
      </w:pPr>
      <w:r w:rsidRPr="009C2DDE">
        <w:t>arrangements must be made to remove or separate sick or dead livestock from pens carrying multiple animals in transit. If animals need to be unloaded, arrangements must be made to ensure the health and welfare of the animals.</w:t>
      </w:r>
    </w:p>
    <w:p w:rsidR="000D35BF" w:rsidRPr="009C2DDE" w:rsidP="000D35BF">
      <w:r w:rsidRPr="009C2DDE">
        <w:rPr>
          <w:b/>
          <w:bCs/>
        </w:rPr>
        <w:t>6.1.29</w:t>
      </w:r>
      <w:r w:rsidRPr="009C2DDE">
        <w:t xml:space="preserve"> Contingency plans </w:t>
      </w:r>
      <w:bookmarkStart w:id="2" w:name="_Hlk145947011"/>
      <w:r w:rsidRPr="009C2DDE">
        <w:t>for an air export journey</w:t>
      </w:r>
      <w:bookmarkEnd w:id="2"/>
      <w:r w:rsidRPr="009C2DDE">
        <w:t>, including procedures for contacting the exporter, must be prepared in writing for each consignment that address:</w:t>
      </w:r>
    </w:p>
    <w:p w:rsidR="000D35BF" w:rsidRPr="009C2DDE" w:rsidP="006E1561">
      <w:pPr>
        <w:pStyle w:val="ListNumber2"/>
        <w:numPr>
          <w:ilvl w:val="1"/>
          <w:numId w:val="53"/>
        </w:numPr>
        <w:ind w:left="284" w:hanging="284"/>
      </w:pPr>
      <w:r w:rsidRPr="009C2DDE">
        <w:t>unavailability of the aircraft to be used for the air transportation; and</w:t>
      </w:r>
    </w:p>
    <w:p w:rsidR="000D35BF" w:rsidRPr="009C2DDE" w:rsidP="006E1561">
      <w:pPr>
        <w:pStyle w:val="ListNumber2"/>
      </w:pPr>
      <w:r w:rsidRPr="009C2DDE">
        <w:t>mechanical breakdown, including partial or full disablement of the ventilation system; and</w:t>
      </w:r>
    </w:p>
    <w:p w:rsidR="000D35BF" w:rsidRPr="009C2DDE" w:rsidP="006E1561">
      <w:pPr>
        <w:pStyle w:val="ListNumber2"/>
      </w:pPr>
      <w:r w:rsidRPr="009C2DDE">
        <w:t>rejection of the consignment, by the importing country; and</w:t>
      </w:r>
    </w:p>
    <w:p w:rsidR="000D35BF" w:rsidRPr="009C2DDE" w:rsidP="006E1561">
      <w:pPr>
        <w:pStyle w:val="ListNumber2"/>
      </w:pPr>
      <w:r w:rsidRPr="009C2DDE">
        <w:t>diversion and landing at a location different from the intended transit stop(s) or destination and how the welfare of animals will be overseen; and</w:t>
      </w:r>
    </w:p>
    <w:p w:rsidR="000D35BF" w:rsidRPr="009C2DDE" w:rsidP="006E1561">
      <w:pPr>
        <w:pStyle w:val="ListNumber2"/>
      </w:pPr>
      <w:r w:rsidRPr="009C2DDE">
        <w:t>euthanasia on board the aircraft if a competent stock handler is accompanying livestock, if livestock are accessible and if it is safe to do so, or as soon as possible after unloading from the aircraft; and</w:t>
      </w:r>
    </w:p>
    <w:p w:rsidR="001C3F20" w:rsidP="006E1561">
      <w:pPr>
        <w:pStyle w:val="ListNumber2"/>
        <w:rPr>
          <w:sz w:val="28"/>
          <w:szCs w:val="28"/>
        </w:rPr>
      </w:pPr>
      <w:r w:rsidRPr="009C2DDE">
        <w:t>procedures for the humane recapture of livestock that escape during the loading process.</w:t>
      </w:r>
    </w:p>
    <w:p w:rsidR="003C7174" w:rsidP="001C3F20">
      <w:pPr>
        <w:pStyle w:val="Heading2"/>
      </w:pPr>
      <w:r w:rsidRPr="004740CB">
        <w:t>Pregnancy testing and penning requirements for the export of juvenile alpaca</w:t>
      </w:r>
    </w:p>
    <w:p w:rsidR="00356EB8" w:rsidP="00BA1C68">
      <w:pPr>
        <w:pStyle w:val="BoxHeading"/>
      </w:pPr>
      <w:r>
        <w:t>Summary of feedback:</w:t>
      </w:r>
    </w:p>
    <w:p w:rsidR="00356EB8" w:rsidP="00BA1C68">
      <w:pPr>
        <w:pStyle w:val="BoxText"/>
      </w:pPr>
      <w:r>
        <w:t>There was broad support for the proposed amendments with industry agreeing they provided a practical solution for juvenile alpacas with no negative impact on animal welfare. Some animal welfare organisations suggested that male and female alpacas should be separated from weaning, citing a 2003 research paper that states up to 10% of males may be fertile at 12 months of age.</w:t>
      </w:r>
    </w:p>
    <w:p w:rsidR="00356EB8" w:rsidP="00BA1C68">
      <w:pPr>
        <w:pStyle w:val="BoxHeading"/>
      </w:pPr>
      <w:r>
        <w:t>Department response</w:t>
      </w:r>
      <w:r w:rsidRPr="00145609">
        <w:t>:</w:t>
      </w:r>
    </w:p>
    <w:p w:rsidR="00356EB8" w:rsidP="00BA1C68">
      <w:pPr>
        <w:pStyle w:val="BoxText"/>
      </w:pPr>
      <w:r>
        <w:t>The proposed amendments have been finalised without further changes.</w:t>
      </w:r>
    </w:p>
    <w:p w:rsidR="00356EB8" w:rsidP="00BA1C68">
      <w:pPr>
        <w:pStyle w:val="BoxText"/>
      </w:pPr>
      <w:r>
        <w:t>The department reviewed the 2003 research paper, and while it indicates spermatogenesis begins around 12 months of age, it states that males are incapable of breeding (extruding the penis) until around 15-18 months of age.</w:t>
      </w:r>
    </w:p>
    <w:p w:rsidR="00356EB8" w:rsidP="00BA1C68">
      <w:pPr>
        <w:pStyle w:val="BoxText"/>
      </w:pPr>
      <w:r>
        <w:t>Industry best practice indicates immature male and female alpacas are routinely held together in the same paddock until 12 months of age, as the risk of aggression and/or dominance between animals socialised together is very low. IATA regulations also allow for the mixing of male and female alpaca. Scientific research and industry body, Alpaca Association Australia, identify that bodyweight is a useful metric to verify age for alpacas and can aid in the identification of animals that can travel safely toget</w:t>
      </w:r>
      <w:r>
        <w:t>her. Alpacas less than 35kg are classed as immature and incapable of breeding. Female alpacas typically reach sexual maturity between 12- 24 months of age (around 45-50kg bodyweight). Pregnancy ultrasound of immature alpacas will be of no benefit as they are classed as immature and unable to become pregnant.</w:t>
      </w:r>
    </w:p>
    <w:p w:rsidR="00356EB8" w:rsidRPr="00455013" w:rsidP="00BA1C68">
      <w:pPr>
        <w:pStyle w:val="BoxText"/>
      </w:pPr>
      <w:r>
        <w:t xml:space="preserve">The changes to standard 6.1.14 provide added flexibility around when juvenile alpaca </w:t>
      </w:r>
      <w:r w:rsidRPr="007A5D2A">
        <w:rPr>
          <w:i/>
          <w:iCs/>
        </w:rPr>
        <w:t>may</w:t>
      </w:r>
      <w:r>
        <w:t xml:space="preserve"> be penned together, (not </w:t>
      </w:r>
      <w:r w:rsidRPr="007A5D2A">
        <w:rPr>
          <w:i/>
          <w:iCs/>
        </w:rPr>
        <w:t>must</w:t>
      </w:r>
      <w:r>
        <w:t xml:space="preserve"> be penned together). The changes to standards 6.2.3 and 6.2.4 reflect scientific research regarding sexual maturity in alpacas. This indicates pregnancy ultrasound of immature alpacas will be of no benefit as they are classed as immature and are unable to become pregnant.</w:t>
      </w:r>
    </w:p>
    <w:p w:rsidR="002C4527" w:rsidP="001C3F20">
      <w:pPr>
        <w:pStyle w:val="Heading3"/>
        <w:numPr>
          <w:ilvl w:val="0"/>
          <w:numId w:val="0"/>
        </w:numPr>
        <w:rPr>
          <w:i/>
          <w:iCs/>
          <w:sz w:val="28"/>
          <w:szCs w:val="28"/>
        </w:rPr>
      </w:pPr>
      <w:r w:rsidRPr="008A12D9">
        <w:rPr>
          <w:rFonts w:eastAsiaTheme="minorEastAsia"/>
          <w:lang w:eastAsia="ja-JP"/>
        </w:rPr>
        <w:t xml:space="preserve">Amended </w:t>
      </w:r>
      <w:r>
        <w:rPr>
          <w:rFonts w:eastAsiaTheme="minorEastAsia"/>
          <w:lang w:eastAsia="ja-JP"/>
        </w:rPr>
        <w:t>standards</w:t>
      </w:r>
      <w:r w:rsidRPr="008A12D9">
        <w:rPr>
          <w:rFonts w:eastAsiaTheme="minorEastAsia"/>
          <w:lang w:eastAsia="ja-JP"/>
        </w:rPr>
        <w:t xml:space="preserve"> </w:t>
      </w:r>
      <w:r>
        <w:rPr>
          <w:rFonts w:eastAsiaTheme="minorEastAsia"/>
          <w:lang w:eastAsia="ja-JP"/>
        </w:rPr>
        <w:t>for ASEL 3.3</w:t>
      </w:r>
    </w:p>
    <w:p w:rsidR="000D35BF" w:rsidRPr="001C3F20" w:rsidP="001C3F20">
      <w:pPr>
        <w:rPr>
          <w:b/>
          <w:bCs/>
          <w:i/>
          <w:iCs/>
        </w:rPr>
      </w:pPr>
      <w:r w:rsidRPr="00786AE7">
        <w:rPr>
          <w:i/>
          <w:iCs/>
        </w:rPr>
        <w:t>(</w:t>
      </w:r>
      <w:r w:rsidRPr="001C3F20">
        <w:rPr>
          <w:i/>
          <w:iCs/>
        </w:rPr>
        <w:t>These</w:t>
      </w:r>
      <w:r w:rsidRPr="001C3F20" w:rsidR="00E55A30">
        <w:rPr>
          <w:i/>
          <w:iCs/>
        </w:rPr>
        <w:t xml:space="preserve"> </w:t>
      </w:r>
      <w:r w:rsidRPr="001C3F20">
        <w:rPr>
          <w:i/>
          <w:iCs/>
        </w:rPr>
        <w:t>versions of Standards 6.1.14, 6.2.3 and 6.2.4 come into force on 30 November 2023</w:t>
      </w:r>
      <w:r w:rsidR="00786AE7">
        <w:rPr>
          <w:i/>
          <w:iCs/>
        </w:rPr>
        <w:t>.</w:t>
      </w:r>
      <w:r w:rsidRPr="001C3F20" w:rsidR="004740CB">
        <w:rPr>
          <w:i/>
          <w:iCs/>
        </w:rPr>
        <w:t>)</w:t>
      </w:r>
    </w:p>
    <w:p w:rsidR="000D35BF" w:rsidRPr="009C2DDE" w:rsidP="006E1561">
      <w:pPr>
        <w:pStyle w:val="ListParagraph"/>
        <w:numPr>
          <w:ilvl w:val="2"/>
          <w:numId w:val="55"/>
        </w:numPr>
      </w:pPr>
      <w:r w:rsidRPr="009C2DDE">
        <w:t xml:space="preserve">When </w:t>
      </w:r>
      <w:r w:rsidRPr="009C2DDE">
        <w:t>calculating pen space allocation and penning livestock:</w:t>
      </w:r>
    </w:p>
    <w:p w:rsidR="006E1561" w:rsidP="006E1561">
      <w:pPr>
        <w:pStyle w:val="ListNumber2"/>
        <w:numPr>
          <w:ilvl w:val="1"/>
          <w:numId w:val="54"/>
        </w:numPr>
        <w:ind w:left="284" w:hanging="284"/>
      </w:pPr>
      <w:r w:rsidRPr="009C2DDE">
        <w:t>accurate final weights of livestock must be obtained in view of the weight limitations imposed by the load capabilities of the aircraft and the space required per animal; and</w:t>
      </w:r>
    </w:p>
    <w:p w:rsidR="006E1561" w:rsidP="006E1561">
      <w:pPr>
        <w:pStyle w:val="ListNumber2"/>
        <w:numPr>
          <w:ilvl w:val="1"/>
          <w:numId w:val="54"/>
        </w:numPr>
        <w:ind w:left="284" w:hanging="284"/>
      </w:pPr>
      <w:r w:rsidRPr="009C2DDE">
        <w:t>where the number of animals per crate calculated is not a whole number, decimal point 4 and below must be rounded down. Decimal point 5 and above can be rounded up if the resulting space allocation does not exceed a 5% decrease from minimum requirements; and</w:t>
      </w:r>
    </w:p>
    <w:p w:rsidR="006E1561" w:rsidP="006E1561">
      <w:pPr>
        <w:pStyle w:val="ListNumber2"/>
        <w:numPr>
          <w:ilvl w:val="1"/>
          <w:numId w:val="54"/>
        </w:numPr>
        <w:ind w:left="284" w:hanging="284"/>
      </w:pPr>
      <w:r w:rsidRPr="009C2DDE">
        <w:t>the livestock must be able to stand normally, and once lying down should be able to regain their feet unaided and without undue interference from other animals; and</w:t>
      </w:r>
    </w:p>
    <w:p w:rsidR="006E1561" w:rsidP="006E1561">
      <w:pPr>
        <w:pStyle w:val="ListNumber2"/>
        <w:numPr>
          <w:ilvl w:val="1"/>
          <w:numId w:val="54"/>
        </w:numPr>
        <w:ind w:left="284" w:hanging="284"/>
      </w:pPr>
      <w:r w:rsidRPr="009C2DDE">
        <w:t>when livestock stand normally, no part of the animal's body (including horns) must touch any overhead part of the crate including any supporting crossbars; and</w:t>
      </w:r>
    </w:p>
    <w:p w:rsidR="006E1561" w:rsidP="006E1561">
      <w:pPr>
        <w:pStyle w:val="ListNumber2"/>
        <w:numPr>
          <w:ilvl w:val="1"/>
          <w:numId w:val="54"/>
        </w:numPr>
        <w:ind w:left="284" w:hanging="284"/>
      </w:pPr>
      <w:r w:rsidRPr="009C2DDE">
        <w:t>expected ambient temperatures and ventilation capacity at loading, transits, transhipments and unloading must be taken into account; and</w:t>
      </w:r>
    </w:p>
    <w:p w:rsidR="006E1561" w:rsidP="006E1561">
      <w:pPr>
        <w:pStyle w:val="ListNumber2"/>
        <w:numPr>
          <w:ilvl w:val="1"/>
          <w:numId w:val="54"/>
        </w:numPr>
        <w:ind w:left="284" w:hanging="284"/>
      </w:pPr>
      <w:r w:rsidRPr="005B1194">
        <w:t>livestock must be penned with animals of the same species, class, sex and of a similar weight with the exception of the following categories where animals may be penned together:</w:t>
      </w:r>
    </w:p>
    <w:p w:rsidR="000D35BF" w:rsidRPr="005B1194" w:rsidP="006E1561">
      <w:pPr>
        <w:pStyle w:val="ListNumber3"/>
      </w:pPr>
      <w:r w:rsidRPr="005B1194">
        <w:t>Females and castrated males, or</w:t>
      </w:r>
    </w:p>
    <w:p w:rsidR="00BF14B3" w:rsidP="006E1561">
      <w:pPr>
        <w:pStyle w:val="ListNumber3"/>
      </w:pPr>
      <w:r w:rsidRPr="005B1194">
        <w:t>Entire male and female alpacas if they have been socialised together in the source mob and they are less than 35kg at the time of loading for export from the approved premises or other premises used for export preparation; and</w:t>
      </w:r>
    </w:p>
    <w:p w:rsidR="006E1561" w:rsidP="006E1561">
      <w:pPr>
        <w:pStyle w:val="ListNumber2"/>
      </w:pPr>
      <w:r w:rsidRPr="005B1194">
        <w:t>where animals of unequal size are placed in the same crate, the crate must be divided so that they are penned separately; and</w:t>
      </w:r>
    </w:p>
    <w:p w:rsidR="006E1561" w:rsidP="006E1561">
      <w:pPr>
        <w:pStyle w:val="ListNumber2"/>
      </w:pPr>
      <w:r w:rsidRPr="005B1194">
        <w:t>where the total air export journey time scheduled is greater than 24 hours, the pen area per head must be increased by 10% (not cumulative with other requirements in Standards 6.2 to 6.10); and</w:t>
      </w:r>
    </w:p>
    <w:p w:rsidR="000D35BF" w:rsidRPr="005B1194" w:rsidP="006E1561">
      <w:pPr>
        <w:pStyle w:val="ListNumber2"/>
      </w:pPr>
      <w:r w:rsidRPr="005B1194">
        <w:t>when livestock are loaded with mixed cargo in aircraft lower holds, the pen area must be increased by 10% (cumulative with other requirements in Standards 6.2 to 6.10).</w:t>
      </w:r>
    </w:p>
    <w:p w:rsidR="000D35BF" w:rsidRPr="001C3F20" w:rsidP="001C3F20">
      <w:pPr>
        <w:rPr>
          <w:b/>
          <w:bCs/>
        </w:rPr>
      </w:pPr>
      <w:r w:rsidRPr="001C3F20">
        <w:rPr>
          <w:b/>
          <w:bCs/>
        </w:rPr>
        <w:t>Alpaca requirements</w:t>
      </w:r>
    </w:p>
    <w:p w:rsidR="000D35BF" w:rsidRPr="005B1194" w:rsidP="000D35BF">
      <w:r w:rsidRPr="005B1194">
        <w:rPr>
          <w:b/>
          <w:bCs/>
        </w:rPr>
        <w:t>6.2.3</w:t>
      </w:r>
      <w:r w:rsidRPr="005B1194">
        <w:t xml:space="preserve"> Female alpacas with a weight of 35kg or more sourced for export as feeder or slaughter animals must be individually pregnancy tested using ultrasound within 30 days prior to export, by a registered veterinarian with demonstrable current experience in camelid pregnancy diagnosis, who must certify in writing that the animal is not detectably pregnant. The certification must include the certifier’s name, veterinary registration number, statement of experience, signature, the animal’s identification and the da</w:t>
      </w:r>
      <w:r w:rsidRPr="005B1194">
        <w:t>te of the procedure.</w:t>
      </w:r>
    </w:p>
    <w:p w:rsidR="000D35BF" w:rsidRPr="009C2DDE" w:rsidP="000D35BF">
      <w:r w:rsidRPr="005B1194">
        <w:rPr>
          <w:b/>
          <w:bCs/>
        </w:rPr>
        <w:t>6.2.4</w:t>
      </w:r>
      <w:r w:rsidRPr="005B1194">
        <w:t xml:space="preserve"> Female alpacas with a weight of 35 kg or more sourced for export </w:t>
      </w:r>
      <w:r w:rsidRPr="009C2DDE">
        <w:t>as breeder animals must:</w:t>
      </w:r>
    </w:p>
    <w:p w:rsidR="000D35BF" w:rsidRPr="009C2DDE" w:rsidP="006E1561">
      <w:pPr>
        <w:pStyle w:val="ListNumber2"/>
        <w:numPr>
          <w:ilvl w:val="1"/>
          <w:numId w:val="56"/>
        </w:numPr>
        <w:ind w:left="284" w:hanging="284"/>
      </w:pPr>
      <w:r w:rsidRPr="009C2DDE">
        <w:t>be pregnancy tested using ultrasound foetal measurement by a registered veterinarian with demonstrable current experience in camelid pregnancy diagnosis; and</w:t>
      </w:r>
    </w:p>
    <w:p w:rsidR="006E1561" w:rsidP="006E1561">
      <w:pPr>
        <w:pStyle w:val="ListNumber2"/>
      </w:pPr>
      <w:r w:rsidRPr="009C2DDE">
        <w:t>be certified in writing by the testing veterinarian as either not detectably pregnant or pregnant and if pregnant include the number of days pregnant. The certification must include the certifier’s name, veterinary registration number, statement of experience, signature, the individual identification number of the animal and the date of the procedure. Certification is valid for 60 days for not detectably pregnant alpaca, from the date of the procedure; and</w:t>
      </w:r>
    </w:p>
    <w:p w:rsidR="000D35BF" w:rsidRPr="006E1561" w:rsidP="006E1561">
      <w:pPr>
        <w:pStyle w:val="ListNumber2"/>
      </w:pPr>
      <w:r w:rsidRPr="009C2DDE">
        <w:t>be not more than 227 days pregnant at the scheduled date of export, unless otherwise provided in a last third of pregnancy management plan approved in writing by the department.</w:t>
      </w:r>
    </w:p>
    <w:p w:rsidR="002D2633" w:rsidP="001C3F20">
      <w:pPr>
        <w:pStyle w:val="Heading1"/>
      </w:pPr>
      <w:r>
        <w:t>Other changes to ASEL 3.3: t</w:t>
      </w:r>
      <w:r w:rsidR="005C60EF">
        <w:t xml:space="preserve">ypographical </w:t>
      </w:r>
      <w:r>
        <w:t xml:space="preserve">errors, </w:t>
      </w:r>
      <w:r w:rsidR="005C60EF">
        <w:t>corrections</w:t>
      </w:r>
      <w:r w:rsidR="00CB7D66">
        <w:t xml:space="preserve"> to definitions</w:t>
      </w:r>
      <w:r w:rsidR="006A1021">
        <w:t>, extension</w:t>
      </w:r>
      <w:r w:rsidR="005C60EF">
        <w:t xml:space="preserve"> </w:t>
      </w:r>
      <w:r w:rsidR="00CB7D66">
        <w:t>of a pen space table</w:t>
      </w:r>
      <w:r w:rsidR="00EE4FCF">
        <w:t xml:space="preserve"> and standardising naming </w:t>
      </w:r>
      <w:r w:rsidRPr="00AA76B0" w:rsidR="00EE4FCF">
        <w:t>conventions</w:t>
      </w:r>
    </w:p>
    <w:p w:rsidR="000D35BF" w:rsidRPr="00E3570C" w:rsidP="001C3F20">
      <w:pPr>
        <w:pStyle w:val="Heading2"/>
      </w:pPr>
      <w:r w:rsidRPr="002D2633">
        <w:t>Pen space allocation for goats</w:t>
      </w:r>
    </w:p>
    <w:p w:rsidR="000D35BF" w:rsidRPr="001C3F20" w:rsidP="001C3F20">
      <w:pPr>
        <w:rPr>
          <w:i/>
          <w:iCs/>
        </w:rPr>
      </w:pPr>
      <w:r w:rsidRPr="001C3F20">
        <w:rPr>
          <w:i/>
          <w:iCs/>
        </w:rPr>
        <w:t>(This version of Standard 6.7.9 comes into force on 30 November 2023</w:t>
      </w:r>
      <w:r w:rsidR="00786AE7">
        <w:rPr>
          <w:i/>
          <w:iCs/>
        </w:rPr>
        <w:t>.</w:t>
      </w:r>
      <w:r w:rsidRPr="001C3F20">
        <w:rPr>
          <w:i/>
          <w:iCs/>
        </w:rPr>
        <w:t>)</w:t>
      </w:r>
    </w:p>
    <w:p w:rsidR="000D35BF" w:rsidP="00356EB8">
      <w:pPr>
        <w:pStyle w:val="ListParagraph"/>
        <w:numPr>
          <w:ilvl w:val="2"/>
          <w:numId w:val="57"/>
        </w:numPr>
      </w:pPr>
      <w:r>
        <w:t>When calculating pen space allocation, the pen area per head must be increased by 10%</w:t>
      </w:r>
    </w:p>
    <w:p w:rsidR="00356EB8" w:rsidP="00356EB8">
      <w:pPr>
        <w:pStyle w:val="ListNumber2"/>
        <w:numPr>
          <w:ilvl w:val="1"/>
          <w:numId w:val="58"/>
        </w:numPr>
        <w:ind w:left="284" w:hanging="284"/>
      </w:pPr>
      <w:r>
        <w:t>for goats with more than 25mm of hair (</w:t>
      </w:r>
      <w:r w:rsidRPr="007C069F">
        <w:t>not cumulative with b)); and</w:t>
      </w:r>
    </w:p>
    <w:p w:rsidR="00356EB8" w:rsidP="00356EB8">
      <w:pPr>
        <w:pStyle w:val="ListNumber2"/>
      </w:pPr>
      <w:r w:rsidRPr="007C069F">
        <w:t>for goats with horns in excess of Standard 6.7.7 d) (not cumulative with a)). These goats are to be penned separately</w:t>
      </w:r>
      <w:r>
        <w:t>.</w:t>
      </w:r>
    </w:p>
    <w:p w:rsidR="00356EB8" w:rsidP="00BA1C68">
      <w:pPr>
        <w:pStyle w:val="BoxHeading"/>
      </w:pPr>
      <w:r w:rsidRPr="00145609">
        <w:t>R</w:t>
      </w:r>
      <w:r>
        <w:t>ationale</w:t>
      </w:r>
      <w:r w:rsidRPr="00145609">
        <w:t>:</w:t>
      </w:r>
    </w:p>
    <w:p w:rsidR="00356EB8" w:rsidRPr="00356EB8" w:rsidP="00BA1C68">
      <w:pPr>
        <w:pStyle w:val="BoxText"/>
      </w:pPr>
      <w:r>
        <w:t>This change corrects a typographical error and replaces (d) with (b).</w:t>
      </w:r>
    </w:p>
    <w:p w:rsidR="000D35BF" w:rsidRPr="00E3570C" w:rsidP="001C3F20">
      <w:pPr>
        <w:pStyle w:val="Heading2"/>
      </w:pPr>
      <w:r w:rsidRPr="002D2633">
        <w:t>Linear interpolation</w:t>
      </w:r>
    </w:p>
    <w:p w:rsidR="000D35BF" w:rsidRPr="001C3F20" w:rsidP="001C3F20">
      <w:pPr>
        <w:rPr>
          <w:i/>
          <w:iCs/>
        </w:rPr>
      </w:pPr>
      <w:r w:rsidRPr="001C3F20">
        <w:rPr>
          <w:i/>
          <w:iCs/>
        </w:rPr>
        <w:t>(This version of the following definition comes into force on 30 November 2023</w:t>
      </w:r>
      <w:r w:rsidR="00786AE7">
        <w:rPr>
          <w:i/>
          <w:iCs/>
        </w:rPr>
        <w:t>.</w:t>
      </w:r>
      <w:r w:rsidRPr="001C3F20">
        <w:rPr>
          <w:i/>
          <w:iCs/>
        </w:rPr>
        <w:t>)</w:t>
      </w:r>
    </w:p>
    <w:p w:rsidR="000D35BF" w:rsidRPr="009C2DDE" w:rsidP="000D35BF">
      <w:r w:rsidRPr="009C2DDE">
        <w:rPr>
          <w:b/>
          <w:bCs/>
        </w:rPr>
        <w:t>Linear interpolation</w:t>
      </w:r>
      <w:r w:rsidRPr="009C2DDE">
        <w:t xml:space="preserve"> means a method of finding new values at positions between two data points. </w:t>
      </w:r>
    </w:p>
    <w:p w:rsidR="000D35BF" w:rsidRPr="009C2DDE" w:rsidP="000D35BF">
      <w:r w:rsidRPr="009C2DDE">
        <w:t>The formula is: y = y</w:t>
      </w:r>
      <w:r w:rsidRPr="009C2DDE">
        <w:rPr>
          <w:vertAlign w:val="subscript"/>
        </w:rPr>
        <w:t>1</w:t>
      </w:r>
      <w:r w:rsidRPr="009C2DDE">
        <w:t xml:space="preserve"> + ((x – x</w:t>
      </w:r>
      <w:r w:rsidRPr="009C2DDE">
        <w:rPr>
          <w:vertAlign w:val="subscript"/>
        </w:rPr>
        <w:t>1</w:t>
      </w:r>
      <w:r w:rsidRPr="009C2DDE">
        <w:t>) * (y</w:t>
      </w:r>
      <w:r w:rsidRPr="009C2DDE">
        <w:rPr>
          <w:vertAlign w:val="subscript"/>
        </w:rPr>
        <w:t>2</w:t>
      </w:r>
      <w:r w:rsidRPr="009C2DDE">
        <w:t xml:space="preserve"> – y</w:t>
      </w:r>
      <w:r w:rsidRPr="009C2DDE">
        <w:rPr>
          <w:vertAlign w:val="subscript"/>
        </w:rPr>
        <w:t>1</w:t>
      </w:r>
      <w:r w:rsidRPr="009C2DDE">
        <w:t>)) / (x</w:t>
      </w:r>
      <w:r w:rsidRPr="009C2DDE">
        <w:rPr>
          <w:vertAlign w:val="subscript"/>
        </w:rPr>
        <w:t>2</w:t>
      </w:r>
      <w:r w:rsidRPr="009C2DDE">
        <w:t xml:space="preserve"> – x</w:t>
      </w:r>
      <w:r w:rsidRPr="009C2DDE">
        <w:rPr>
          <w:vertAlign w:val="subscript"/>
        </w:rPr>
        <w:t>1</w:t>
      </w:r>
      <w:r w:rsidRPr="009C2DDE">
        <w:t>).</w:t>
      </w:r>
    </w:p>
    <w:p w:rsidR="000D35BF" w:rsidRPr="009C2DDE" w:rsidP="000D35BF">
      <w:r w:rsidRPr="009C2DDE">
        <w:t xml:space="preserve">For the purposes of ASEL, this is where </w:t>
      </w:r>
      <w:r w:rsidRPr="009C2DDE">
        <w:rPr>
          <w:b/>
          <w:bCs/>
        </w:rPr>
        <w:t>x</w:t>
      </w:r>
      <w:r w:rsidRPr="009C2DDE">
        <w:t xml:space="preserve"> is the </w:t>
      </w:r>
      <w:r w:rsidRPr="009C2DDE">
        <w:rPr>
          <w:b/>
          <w:bCs/>
        </w:rPr>
        <w:t>known value</w:t>
      </w:r>
      <w:r w:rsidRPr="009C2DDE">
        <w:t xml:space="preserve"> (the animal’s liveweight in kilograms - </w:t>
      </w:r>
      <w:r w:rsidRPr="009C2DDE">
        <w:rPr>
          <w:b/>
          <w:bCs/>
        </w:rPr>
        <w:t>Liveweight [kg]</w:t>
      </w:r>
      <w:r w:rsidRPr="009C2DDE">
        <w:t xml:space="preserve">), </w:t>
      </w:r>
      <w:r w:rsidRPr="009C2DDE">
        <w:rPr>
          <w:b/>
          <w:bCs/>
        </w:rPr>
        <w:t>y</w:t>
      </w:r>
      <w:r w:rsidRPr="009C2DDE">
        <w:t xml:space="preserve"> is the </w:t>
      </w:r>
      <w:r w:rsidRPr="009C2DDE">
        <w:rPr>
          <w:b/>
          <w:bCs/>
        </w:rPr>
        <w:t xml:space="preserve">unknown value </w:t>
      </w:r>
      <w:r w:rsidRPr="009C2DDE">
        <w:rPr>
          <w:b/>
          <w:bCs/>
        </w:rPr>
        <w:t>(Minimum pen area [m</w:t>
      </w:r>
      <w:r w:rsidRPr="009C2DDE">
        <w:rPr>
          <w:b/>
          <w:bCs/>
          <w:vertAlign w:val="superscript"/>
        </w:rPr>
        <w:t>2</w:t>
      </w:r>
      <w:r w:rsidRPr="009C2DDE">
        <w:rPr>
          <w:b/>
          <w:bCs/>
        </w:rPr>
        <w:t>/head])</w:t>
      </w:r>
      <w:r w:rsidRPr="009C2DDE">
        <w:t xml:space="preserve">, </w:t>
      </w:r>
      <w:r w:rsidRPr="009C2DDE">
        <w:rPr>
          <w:b/>
          <w:bCs/>
        </w:rPr>
        <w:t>x</w:t>
      </w:r>
      <w:r w:rsidRPr="009C2DDE">
        <w:rPr>
          <w:b/>
          <w:bCs/>
          <w:vertAlign w:val="subscript"/>
        </w:rPr>
        <w:t>1</w:t>
      </w:r>
      <w:r w:rsidRPr="009C2DDE">
        <w:rPr>
          <w:vertAlign w:val="subscript"/>
        </w:rPr>
        <w:t xml:space="preserve"> </w:t>
      </w:r>
      <w:r w:rsidRPr="009C2DDE">
        <w:t xml:space="preserve">and </w:t>
      </w:r>
      <w:r w:rsidRPr="009C2DDE">
        <w:rPr>
          <w:b/>
          <w:bCs/>
        </w:rPr>
        <w:t>y</w:t>
      </w:r>
      <w:r w:rsidRPr="009C2DDE">
        <w:rPr>
          <w:b/>
          <w:bCs/>
          <w:vertAlign w:val="subscript"/>
        </w:rPr>
        <w:t>1</w:t>
      </w:r>
      <w:r w:rsidRPr="009C2DDE">
        <w:t xml:space="preserve"> are the liveweight and pen area </w:t>
      </w:r>
      <w:r w:rsidRPr="009C2DDE">
        <w:rPr>
          <w:b/>
          <w:bCs/>
        </w:rPr>
        <w:t>below</w:t>
      </w:r>
      <w:r w:rsidRPr="009C2DDE">
        <w:t xml:space="preserve"> the known value in the ASEL table, and </w:t>
      </w:r>
      <w:r w:rsidRPr="009C2DDE">
        <w:rPr>
          <w:b/>
          <w:bCs/>
        </w:rPr>
        <w:t>x</w:t>
      </w:r>
      <w:r w:rsidRPr="009C2DDE">
        <w:rPr>
          <w:b/>
          <w:bCs/>
          <w:vertAlign w:val="subscript"/>
        </w:rPr>
        <w:t>2</w:t>
      </w:r>
      <w:r w:rsidRPr="009C2DDE">
        <w:t xml:space="preserve"> and </w:t>
      </w:r>
      <w:r w:rsidRPr="009C2DDE">
        <w:rPr>
          <w:b/>
          <w:bCs/>
        </w:rPr>
        <w:t>y</w:t>
      </w:r>
      <w:r w:rsidRPr="009C2DDE">
        <w:rPr>
          <w:b/>
          <w:bCs/>
          <w:vertAlign w:val="subscript"/>
        </w:rPr>
        <w:t>2</w:t>
      </w:r>
      <w:r w:rsidRPr="009C2DDE">
        <w:t xml:space="preserve"> are the liveweight and pen area </w:t>
      </w:r>
      <w:r w:rsidRPr="009C2DDE">
        <w:rPr>
          <w:b/>
          <w:bCs/>
        </w:rPr>
        <w:t>above</w:t>
      </w:r>
      <w:r w:rsidRPr="009C2DDE">
        <w:t xml:space="preserve"> the known value in the ASEL table.</w:t>
      </w:r>
    </w:p>
    <w:p w:rsidR="000D35BF" w:rsidRPr="001C3F20" w:rsidP="000D35BF">
      <w:pPr>
        <w:rPr>
          <w:rFonts w:ascii="Calibri" w:hAnsi="Calibri" w:cs="Calibri"/>
        </w:rPr>
      </w:pPr>
      <w:r>
        <w:t xml:space="preserve">For example, to find the pen area for a </w:t>
      </w:r>
      <w:r>
        <w:rPr>
          <w:b/>
          <w:bCs/>
        </w:rPr>
        <w:t>23kg</w:t>
      </w:r>
      <w:r>
        <w:t xml:space="preserve"> animal see below</w:t>
      </w:r>
      <w:r w:rsidRPr="009C2DDE">
        <w:t>:</w:t>
      </w:r>
    </w:p>
    <w:tbl>
      <w:tblPr>
        <w:tblW w:w="0" w:type="auto"/>
        <w:tblInd w:w="0" w:type="dxa"/>
        <w:tblCellMar>
          <w:top w:w="0" w:type="dxa"/>
          <w:left w:w="0" w:type="dxa"/>
          <w:bottom w:w="0" w:type="dxa"/>
          <w:right w:w="0" w:type="dxa"/>
        </w:tblCellMar>
        <w:tblLook w:val="04A0"/>
      </w:tblPr>
      <w:tblGrid>
        <w:gridCol w:w="2349"/>
        <w:gridCol w:w="2759"/>
      </w:tblGrid>
      <w:tr w:rsidTr="00C64E4F">
        <w:tblPrEx>
          <w:tblW w:w="0" w:type="auto"/>
          <w:tblInd w:w="0" w:type="dxa"/>
          <w:tblCellMar>
            <w:top w:w="0" w:type="dxa"/>
            <w:left w:w="0" w:type="dxa"/>
            <w:bottom w:w="0" w:type="dxa"/>
            <w:right w:w="0" w:type="dxa"/>
          </w:tblCellMar>
          <w:tblLook w:val="04A0"/>
        </w:tblPrEx>
        <w:trPr>
          <w:cantSplit/>
          <w:trHeight w:val="302"/>
          <w:tblHeader/>
        </w:trPr>
        <w:tc>
          <w:tcPr>
            <w:tcW w:w="2349" w:type="dxa"/>
            <w:tcBorders>
              <w:top w:val="single" w:sz="8" w:space="0" w:color="auto"/>
              <w:left w:val="nil"/>
              <w:bottom w:val="single" w:sz="8" w:space="0" w:color="auto"/>
              <w:right w:val="nil"/>
            </w:tcBorders>
            <w:tcMar>
              <w:top w:w="0" w:type="dxa"/>
              <w:left w:w="108" w:type="dxa"/>
              <w:bottom w:w="0" w:type="dxa"/>
              <w:right w:w="108" w:type="dxa"/>
            </w:tcMar>
            <w:hideMark/>
          </w:tcPr>
          <w:p w:rsidR="000D35BF" w:rsidRPr="009C2DDE" w:rsidP="00C64E4F">
            <w:pPr>
              <w:pStyle w:val="TableHeading"/>
              <w:keepNext/>
              <w:spacing w:before="60" w:after="60" w:line="240" w:lineRule="auto"/>
              <w:rPr>
                <w:rStyle w:val="DefaultParagraphFont"/>
                <w:rFonts w:asciiTheme="minorHAnsi" w:eastAsiaTheme="minorHAnsi" w:hAnsiTheme="minorHAnsi" w:cstheme="minorBidi"/>
                <w:b/>
                <w:sz w:val="22"/>
                <w:szCs w:val="22"/>
                <w:lang w:val="en-AU" w:eastAsia="ja-JP" w:bidi="ar-SA"/>
              </w:rPr>
            </w:pPr>
            <w:r w:rsidRPr="009C2DDE">
              <w:rPr>
                <w:rFonts w:asciiTheme="minorHAnsi" w:eastAsiaTheme="minorHAnsi" w:hAnsiTheme="minorHAnsi" w:cstheme="minorBidi"/>
                <w:b/>
                <w:sz w:val="22"/>
                <w:szCs w:val="22"/>
                <w:lang w:val="en-AU" w:eastAsia="ja-JP" w:bidi="ar-SA"/>
              </w:rPr>
              <w:t>Liveweight (kg)</w:t>
            </w:r>
          </w:p>
        </w:tc>
        <w:tc>
          <w:tcPr>
            <w:tcW w:w="2759" w:type="dxa"/>
            <w:tcBorders>
              <w:top w:val="single" w:sz="8" w:space="0" w:color="auto"/>
              <w:left w:val="nil"/>
              <w:bottom w:val="single" w:sz="8" w:space="0" w:color="auto"/>
              <w:right w:val="nil"/>
            </w:tcBorders>
            <w:tcMar>
              <w:top w:w="0" w:type="dxa"/>
              <w:left w:w="108" w:type="dxa"/>
              <w:bottom w:w="0" w:type="dxa"/>
              <w:right w:w="108" w:type="dxa"/>
            </w:tcMar>
            <w:hideMark/>
          </w:tcPr>
          <w:p w:rsidR="000D35BF" w:rsidRPr="009C2DDE" w:rsidP="00C64E4F">
            <w:pPr>
              <w:pStyle w:val="TableHeading"/>
              <w:keepNext/>
              <w:spacing w:before="60" w:after="60" w:line="240" w:lineRule="auto"/>
              <w:rPr>
                <w:rStyle w:val="DefaultParagraphFont"/>
                <w:rFonts w:asciiTheme="minorHAnsi" w:eastAsiaTheme="minorHAnsi" w:hAnsiTheme="minorHAnsi" w:cstheme="minorBidi"/>
                <w:b/>
                <w:sz w:val="22"/>
                <w:szCs w:val="22"/>
                <w:lang w:val="en-AU" w:eastAsia="ja-JP" w:bidi="ar-SA"/>
              </w:rPr>
            </w:pPr>
            <w:r w:rsidRPr="009C2DDE">
              <w:rPr>
                <w:rFonts w:asciiTheme="minorHAnsi" w:eastAsiaTheme="minorHAnsi" w:hAnsiTheme="minorHAnsi" w:cstheme="minorBidi"/>
                <w:b/>
                <w:sz w:val="22"/>
                <w:szCs w:val="22"/>
                <w:lang w:val="en-AU" w:eastAsia="ja-JP" w:bidi="ar-SA"/>
              </w:rPr>
              <w:t>Minimum pen area (m</w:t>
            </w:r>
            <w:r w:rsidRPr="009C2DDE">
              <w:rPr>
                <w:rFonts w:asciiTheme="minorHAnsi" w:eastAsiaTheme="minorHAnsi" w:hAnsiTheme="minorHAnsi" w:cstheme="minorBidi"/>
                <w:b/>
                <w:sz w:val="22"/>
                <w:szCs w:val="22"/>
                <w:vertAlign w:val="superscript"/>
                <w:lang w:val="en-AU" w:eastAsia="ja-JP" w:bidi="ar-SA"/>
              </w:rPr>
              <w:t>2</w:t>
            </w:r>
            <w:r w:rsidRPr="009C2DDE">
              <w:rPr>
                <w:rFonts w:asciiTheme="minorHAnsi" w:eastAsiaTheme="minorHAnsi" w:hAnsiTheme="minorHAnsi" w:cstheme="minorBidi"/>
                <w:b/>
                <w:sz w:val="22"/>
                <w:szCs w:val="22"/>
                <w:lang w:val="en-AU" w:eastAsia="ja-JP" w:bidi="ar-SA"/>
              </w:rPr>
              <w:t>/head)</w:t>
            </w:r>
          </w:p>
        </w:tc>
      </w:tr>
      <w:tr w:rsidTr="00C64E4F">
        <w:tblPrEx>
          <w:tblW w:w="0" w:type="auto"/>
          <w:tblInd w:w="0" w:type="dxa"/>
          <w:tblCellMar>
            <w:top w:w="0" w:type="dxa"/>
            <w:left w:w="0" w:type="dxa"/>
            <w:bottom w:w="0" w:type="dxa"/>
            <w:right w:w="0" w:type="dxa"/>
          </w:tblCellMar>
          <w:tblLook w:val="04A0"/>
        </w:tblPrEx>
        <w:trPr>
          <w:trHeight w:val="314"/>
        </w:trPr>
        <w:tc>
          <w:tcPr>
            <w:tcW w:w="2349" w:type="dxa"/>
            <w:tcMar>
              <w:top w:w="0" w:type="dxa"/>
              <w:left w:w="108" w:type="dxa"/>
              <w:bottom w:w="0" w:type="dxa"/>
              <w:right w:w="108" w:type="dxa"/>
            </w:tcMar>
            <w:hideMark/>
          </w:tcPr>
          <w:p w:rsidR="000D35BF" w:rsidRPr="009C2DDE" w:rsidP="00C64E4F">
            <w:pPr>
              <w:pStyle w:val="TableText"/>
              <w:spacing w:before="60" w:after="60"/>
              <w:rPr>
                <w:rStyle w:val="DefaultParagraphFont"/>
                <w:rFonts w:eastAsia="Times New Roman" w:asciiTheme="minorHAnsi" w:hAnsiTheme="minorHAnsi" w:cs="Arial"/>
                <w:color w:val="000000"/>
                <w:sz w:val="22"/>
                <w:szCs w:val="22"/>
                <w:lang w:val="en-GB" w:eastAsia="en-US" w:bidi="ar-SA"/>
              </w:rPr>
            </w:pPr>
            <w:r w:rsidRPr="009C2DDE">
              <w:rPr>
                <w:rFonts w:eastAsia="Times New Roman" w:asciiTheme="minorHAnsi" w:hAnsiTheme="minorHAnsi" w:cs="Arial"/>
                <w:color w:val="000000"/>
                <w:sz w:val="22"/>
                <w:szCs w:val="22"/>
                <w:lang w:val="en-GB" w:eastAsia="en-AU" w:bidi="ar-SA"/>
              </w:rPr>
              <w:t>20</w:t>
            </w:r>
          </w:p>
        </w:tc>
        <w:tc>
          <w:tcPr>
            <w:tcW w:w="2759" w:type="dxa"/>
            <w:tcMar>
              <w:top w:w="0" w:type="dxa"/>
              <w:left w:w="108" w:type="dxa"/>
              <w:bottom w:w="0" w:type="dxa"/>
              <w:right w:w="108" w:type="dxa"/>
            </w:tcMar>
            <w:hideMark/>
          </w:tcPr>
          <w:p w:rsidR="000D35BF" w:rsidRPr="009C2DDE" w:rsidP="00C64E4F">
            <w:pPr>
              <w:pStyle w:val="TableText"/>
              <w:spacing w:before="60" w:after="60"/>
              <w:rPr>
                <w:rStyle w:val="DefaultParagraphFont"/>
                <w:rFonts w:eastAsia="Times New Roman" w:asciiTheme="minorHAnsi" w:hAnsiTheme="minorHAnsi" w:cs="Arial"/>
                <w:color w:val="000000"/>
                <w:sz w:val="22"/>
                <w:szCs w:val="22"/>
                <w:lang w:val="en-GB" w:eastAsia="en-AU" w:bidi="ar-SA"/>
              </w:rPr>
            </w:pPr>
            <w:r w:rsidRPr="009C2DDE">
              <w:rPr>
                <w:rFonts w:eastAsia="Times New Roman" w:asciiTheme="minorHAnsi" w:hAnsiTheme="minorHAnsi" w:cs="Arial"/>
                <w:color w:val="000000"/>
                <w:sz w:val="22"/>
                <w:szCs w:val="22"/>
                <w:lang w:val="en-GB" w:eastAsia="en-AU" w:bidi="ar-SA"/>
              </w:rPr>
              <w:t>0.238</w:t>
            </w:r>
          </w:p>
        </w:tc>
      </w:tr>
      <w:tr w:rsidTr="00C64E4F">
        <w:tblPrEx>
          <w:tblW w:w="0" w:type="auto"/>
          <w:tblInd w:w="0" w:type="dxa"/>
          <w:tblCellMar>
            <w:top w:w="0" w:type="dxa"/>
            <w:left w:w="0" w:type="dxa"/>
            <w:bottom w:w="0" w:type="dxa"/>
            <w:right w:w="0" w:type="dxa"/>
          </w:tblCellMar>
          <w:tblLook w:val="04A0"/>
        </w:tblPrEx>
        <w:trPr>
          <w:trHeight w:val="302"/>
        </w:trPr>
        <w:tc>
          <w:tcPr>
            <w:tcW w:w="2349" w:type="dxa"/>
            <w:tcBorders>
              <w:top w:val="nil"/>
              <w:left w:val="nil"/>
              <w:bottom w:val="single" w:sz="8" w:space="0" w:color="auto"/>
              <w:right w:val="nil"/>
            </w:tcBorders>
            <w:tcMar>
              <w:top w:w="0" w:type="dxa"/>
              <w:left w:w="108" w:type="dxa"/>
              <w:bottom w:w="0" w:type="dxa"/>
              <w:right w:w="108" w:type="dxa"/>
            </w:tcMar>
            <w:hideMark/>
          </w:tcPr>
          <w:p w:rsidR="000D35BF" w:rsidRPr="009C2DDE" w:rsidP="00C64E4F">
            <w:pPr>
              <w:pStyle w:val="TableText"/>
              <w:spacing w:before="60" w:after="60"/>
              <w:rPr>
                <w:rStyle w:val="DefaultParagraphFont"/>
                <w:rFonts w:eastAsia="Times New Roman" w:asciiTheme="minorHAnsi" w:hAnsiTheme="minorHAnsi" w:cs="Arial"/>
                <w:color w:val="000000"/>
                <w:sz w:val="22"/>
                <w:szCs w:val="22"/>
                <w:lang w:val="en-GB" w:eastAsia="en-AU" w:bidi="ar-SA"/>
              </w:rPr>
            </w:pPr>
            <w:r w:rsidRPr="009C2DDE">
              <w:rPr>
                <w:rFonts w:eastAsia="Times New Roman" w:asciiTheme="minorHAnsi" w:hAnsiTheme="minorHAnsi" w:cs="Arial"/>
                <w:color w:val="000000"/>
                <w:sz w:val="22"/>
                <w:szCs w:val="22"/>
                <w:lang w:val="en-GB" w:eastAsia="en-AU" w:bidi="ar-SA"/>
              </w:rPr>
              <w:t>30</w:t>
            </w:r>
          </w:p>
        </w:tc>
        <w:tc>
          <w:tcPr>
            <w:tcW w:w="2759" w:type="dxa"/>
            <w:tcBorders>
              <w:top w:val="nil"/>
              <w:left w:val="nil"/>
              <w:bottom w:val="single" w:sz="8" w:space="0" w:color="auto"/>
              <w:right w:val="nil"/>
            </w:tcBorders>
            <w:tcMar>
              <w:top w:w="0" w:type="dxa"/>
              <w:left w:w="108" w:type="dxa"/>
              <w:bottom w:w="0" w:type="dxa"/>
              <w:right w:w="108" w:type="dxa"/>
            </w:tcMar>
            <w:hideMark/>
          </w:tcPr>
          <w:p w:rsidR="000D35BF" w:rsidRPr="009C2DDE" w:rsidP="00C64E4F">
            <w:pPr>
              <w:pStyle w:val="TableText"/>
              <w:spacing w:before="60" w:after="60"/>
              <w:rPr>
                <w:rStyle w:val="DefaultParagraphFont"/>
                <w:rFonts w:eastAsia="Times New Roman" w:asciiTheme="minorHAnsi" w:hAnsiTheme="minorHAnsi" w:cs="Arial"/>
                <w:color w:val="000000"/>
                <w:sz w:val="22"/>
                <w:szCs w:val="22"/>
                <w:lang w:val="en-GB" w:eastAsia="en-AU" w:bidi="ar-SA"/>
              </w:rPr>
            </w:pPr>
            <w:r w:rsidRPr="009C2DDE">
              <w:rPr>
                <w:rFonts w:eastAsia="Times New Roman" w:asciiTheme="minorHAnsi" w:hAnsiTheme="minorHAnsi" w:cs="Arial"/>
                <w:color w:val="000000"/>
                <w:sz w:val="22"/>
                <w:szCs w:val="22"/>
                <w:lang w:val="en-GB" w:eastAsia="en-AU" w:bidi="ar-SA"/>
              </w:rPr>
              <w:t>0.311</w:t>
            </w:r>
          </w:p>
        </w:tc>
      </w:tr>
    </w:tbl>
    <w:p w:rsidR="000D35BF" w:rsidRPr="009C2DDE" w:rsidP="000D35BF">
      <w:pPr>
        <w:rPr>
          <w:b/>
          <w:bCs/>
        </w:rPr>
      </w:pPr>
      <w:r w:rsidRPr="009C2DDE">
        <w:rPr>
          <w:b/>
          <w:bCs/>
        </w:rPr>
        <w:t>y = y</w:t>
      </w:r>
      <w:r w:rsidRPr="009C2DDE">
        <w:rPr>
          <w:b/>
          <w:bCs/>
          <w:vertAlign w:val="subscript"/>
        </w:rPr>
        <w:t>1</w:t>
      </w:r>
      <w:r w:rsidRPr="009C2DDE">
        <w:rPr>
          <w:b/>
          <w:bCs/>
        </w:rPr>
        <w:t xml:space="preserve"> + ((x – x</w:t>
      </w:r>
      <w:r w:rsidRPr="009C2DDE">
        <w:rPr>
          <w:b/>
          <w:bCs/>
          <w:vertAlign w:val="subscript"/>
        </w:rPr>
        <w:t>1</w:t>
      </w:r>
      <w:r w:rsidRPr="009C2DDE">
        <w:rPr>
          <w:b/>
          <w:bCs/>
        </w:rPr>
        <w:t>) * (y</w:t>
      </w:r>
      <w:r w:rsidRPr="009C2DDE">
        <w:rPr>
          <w:b/>
          <w:bCs/>
          <w:vertAlign w:val="subscript"/>
        </w:rPr>
        <w:t>2</w:t>
      </w:r>
      <w:r w:rsidRPr="009C2DDE">
        <w:rPr>
          <w:b/>
          <w:bCs/>
        </w:rPr>
        <w:t xml:space="preserve"> – y</w:t>
      </w:r>
      <w:r w:rsidRPr="009C2DDE">
        <w:rPr>
          <w:b/>
          <w:bCs/>
          <w:vertAlign w:val="subscript"/>
        </w:rPr>
        <w:t>1</w:t>
      </w:r>
      <w:r w:rsidRPr="009C2DDE">
        <w:rPr>
          <w:b/>
          <w:bCs/>
        </w:rPr>
        <w:t>)) / (x</w:t>
      </w:r>
      <w:r w:rsidRPr="009C2DDE">
        <w:rPr>
          <w:b/>
          <w:bCs/>
          <w:vertAlign w:val="subscript"/>
        </w:rPr>
        <w:t>2</w:t>
      </w:r>
      <w:r w:rsidRPr="009C2DDE">
        <w:rPr>
          <w:b/>
          <w:bCs/>
        </w:rPr>
        <w:t xml:space="preserve"> – x</w:t>
      </w:r>
      <w:r w:rsidRPr="009C2DDE">
        <w:rPr>
          <w:b/>
          <w:bCs/>
          <w:vertAlign w:val="subscript"/>
        </w:rPr>
        <w:t>1</w:t>
      </w:r>
      <w:r w:rsidRPr="009C2DDE">
        <w:rPr>
          <w:b/>
          <w:bCs/>
        </w:rPr>
        <w:t>)</w:t>
      </w:r>
    </w:p>
    <w:p w:rsidR="000D35BF" w:rsidRPr="009C2DDE" w:rsidP="003C7174">
      <w:pPr>
        <w:numPr>
          <w:ilvl w:val="0"/>
          <w:numId w:val="16"/>
        </w:numPr>
        <w:spacing w:after="160" w:line="259" w:lineRule="auto"/>
        <w:rPr>
          <w:rFonts w:ascii="Cambria" w:eastAsia="Times New Roman" w:hAnsi="Cambria"/>
        </w:rPr>
      </w:pPr>
      <w:r w:rsidRPr="009C2DDE">
        <w:rPr>
          <w:rFonts w:eastAsia="Times New Roman"/>
        </w:rPr>
        <w:t>x is the known value (</w:t>
      </w:r>
      <w:r w:rsidRPr="009C2DDE">
        <w:rPr>
          <w:rFonts w:eastAsia="Times New Roman"/>
          <w:b/>
          <w:bCs/>
        </w:rPr>
        <w:t>23kgs</w:t>
      </w:r>
      <w:r w:rsidRPr="009C2DDE">
        <w:rPr>
          <w:rFonts w:eastAsia="Times New Roman"/>
        </w:rPr>
        <w:t xml:space="preserve">), </w:t>
      </w:r>
    </w:p>
    <w:p w:rsidR="000D35BF" w:rsidRPr="009C2DDE" w:rsidP="003C7174">
      <w:pPr>
        <w:numPr>
          <w:ilvl w:val="0"/>
          <w:numId w:val="16"/>
        </w:numPr>
        <w:spacing w:after="160" w:line="259" w:lineRule="auto"/>
        <w:rPr>
          <w:rFonts w:ascii="Cambria" w:eastAsia="Times New Roman" w:hAnsi="Cambria"/>
        </w:rPr>
      </w:pPr>
      <w:r w:rsidRPr="009C2DDE">
        <w:rPr>
          <w:rFonts w:eastAsia="Times New Roman"/>
        </w:rPr>
        <w:t>y is the unknown value (</w:t>
      </w:r>
      <w:r w:rsidRPr="009C2DDE">
        <w:rPr>
          <w:rFonts w:eastAsia="Times New Roman"/>
          <w:b/>
          <w:bCs/>
        </w:rPr>
        <w:t>i.e. the Minimum pen area [m2/head]</w:t>
      </w:r>
      <w:r w:rsidRPr="009C2DDE">
        <w:rPr>
          <w:rFonts w:eastAsia="Times New Roman"/>
        </w:rPr>
        <w:t>)</w:t>
      </w:r>
    </w:p>
    <w:p w:rsidR="000D35BF" w:rsidRPr="009C2DDE" w:rsidP="003C7174">
      <w:pPr>
        <w:numPr>
          <w:ilvl w:val="0"/>
          <w:numId w:val="16"/>
        </w:numPr>
        <w:spacing w:after="160" w:line="259" w:lineRule="auto"/>
        <w:rPr>
          <w:rFonts w:ascii="Cambria" w:eastAsia="Times New Roman" w:hAnsi="Cambria"/>
        </w:rPr>
      </w:pPr>
      <w:r w:rsidRPr="009C2DDE">
        <w:rPr>
          <w:rFonts w:eastAsia="Times New Roman"/>
        </w:rPr>
        <w:t>x</w:t>
      </w:r>
      <w:r w:rsidRPr="009C2DDE">
        <w:rPr>
          <w:rFonts w:eastAsia="Times New Roman"/>
          <w:vertAlign w:val="subscript"/>
        </w:rPr>
        <w:t>1</w:t>
      </w:r>
      <w:r w:rsidRPr="009C2DDE">
        <w:rPr>
          <w:rFonts w:eastAsia="Times New Roman"/>
        </w:rPr>
        <w:t xml:space="preserve"> and y</w:t>
      </w:r>
      <w:r w:rsidRPr="009C2DDE">
        <w:rPr>
          <w:rFonts w:eastAsia="Times New Roman"/>
          <w:vertAlign w:val="subscript"/>
        </w:rPr>
        <w:t>1</w:t>
      </w:r>
      <w:r w:rsidRPr="009C2DDE">
        <w:rPr>
          <w:rFonts w:eastAsia="Times New Roman"/>
        </w:rPr>
        <w:t xml:space="preserve"> are the table values that are </w:t>
      </w:r>
      <w:r w:rsidRPr="009C2DDE">
        <w:rPr>
          <w:rFonts w:eastAsia="Times New Roman"/>
          <w:b/>
          <w:bCs/>
        </w:rPr>
        <w:t>below</w:t>
      </w:r>
      <w:r w:rsidRPr="009C2DDE">
        <w:rPr>
          <w:rFonts w:eastAsia="Times New Roman"/>
        </w:rPr>
        <w:t xml:space="preserve"> the known value (</w:t>
      </w:r>
      <w:r w:rsidRPr="009C2DDE">
        <w:rPr>
          <w:rFonts w:eastAsia="Times New Roman"/>
          <w:b/>
          <w:bCs/>
        </w:rPr>
        <w:t>x</w:t>
      </w:r>
      <w:r w:rsidRPr="009C2DDE">
        <w:rPr>
          <w:rFonts w:eastAsia="Times New Roman"/>
          <w:b/>
          <w:bCs/>
          <w:vertAlign w:val="subscript"/>
        </w:rPr>
        <w:t xml:space="preserve">1 </w:t>
      </w:r>
      <w:r w:rsidRPr="009C2DDE">
        <w:rPr>
          <w:rFonts w:eastAsia="Times New Roman"/>
          <w:b/>
          <w:bCs/>
        </w:rPr>
        <w:t>= 20kgs, y</w:t>
      </w:r>
      <w:r w:rsidRPr="009C2DDE">
        <w:rPr>
          <w:rFonts w:eastAsia="Times New Roman"/>
          <w:b/>
          <w:bCs/>
          <w:vertAlign w:val="subscript"/>
        </w:rPr>
        <w:t>1</w:t>
      </w:r>
      <w:r w:rsidRPr="009C2DDE">
        <w:rPr>
          <w:rFonts w:eastAsia="Times New Roman"/>
          <w:b/>
          <w:bCs/>
        </w:rPr>
        <w:t xml:space="preserve"> = 0.238</w:t>
      </w:r>
      <w:r w:rsidRPr="009C2DDE">
        <w:rPr>
          <w:rFonts w:eastAsia="Times New Roman"/>
        </w:rPr>
        <w:t>) and,</w:t>
      </w:r>
    </w:p>
    <w:p w:rsidR="000D35BF" w:rsidRPr="009C2DDE" w:rsidP="003C7174">
      <w:pPr>
        <w:numPr>
          <w:ilvl w:val="0"/>
          <w:numId w:val="16"/>
        </w:numPr>
        <w:spacing w:after="160" w:line="259" w:lineRule="auto"/>
        <w:rPr>
          <w:rFonts w:ascii="Cambria" w:eastAsia="Times New Roman" w:hAnsi="Cambria"/>
        </w:rPr>
      </w:pPr>
      <w:r w:rsidRPr="009C2DDE">
        <w:rPr>
          <w:rFonts w:eastAsia="Times New Roman"/>
        </w:rPr>
        <w:t>x</w:t>
      </w:r>
      <w:r w:rsidRPr="009C2DDE">
        <w:rPr>
          <w:rFonts w:eastAsia="Times New Roman"/>
          <w:vertAlign w:val="subscript"/>
        </w:rPr>
        <w:t>2</w:t>
      </w:r>
      <w:r w:rsidRPr="009C2DDE">
        <w:rPr>
          <w:rFonts w:eastAsia="Times New Roman"/>
        </w:rPr>
        <w:t xml:space="preserve"> and y</w:t>
      </w:r>
      <w:r w:rsidRPr="009C2DDE">
        <w:rPr>
          <w:rFonts w:eastAsia="Times New Roman"/>
          <w:vertAlign w:val="subscript"/>
        </w:rPr>
        <w:t>2</w:t>
      </w:r>
      <w:r w:rsidRPr="009C2DDE">
        <w:rPr>
          <w:rFonts w:eastAsia="Times New Roman"/>
        </w:rPr>
        <w:t xml:space="preserve"> are the table values that are </w:t>
      </w:r>
      <w:r w:rsidRPr="009C2DDE">
        <w:rPr>
          <w:rFonts w:eastAsia="Times New Roman"/>
          <w:b/>
          <w:bCs/>
        </w:rPr>
        <w:t>above</w:t>
      </w:r>
      <w:r w:rsidRPr="009C2DDE">
        <w:rPr>
          <w:rFonts w:eastAsia="Times New Roman"/>
        </w:rPr>
        <w:t xml:space="preserve"> the known value (</w:t>
      </w:r>
      <w:r w:rsidRPr="009C2DDE">
        <w:rPr>
          <w:rFonts w:eastAsia="Times New Roman"/>
          <w:b/>
          <w:bCs/>
        </w:rPr>
        <w:t>x</w:t>
      </w:r>
      <w:r w:rsidRPr="009C2DDE">
        <w:rPr>
          <w:rFonts w:eastAsia="Times New Roman"/>
          <w:b/>
          <w:bCs/>
          <w:vertAlign w:val="subscript"/>
        </w:rPr>
        <w:t>2</w:t>
      </w:r>
      <w:r w:rsidRPr="009C2DDE">
        <w:rPr>
          <w:rFonts w:eastAsia="Times New Roman"/>
          <w:b/>
          <w:bCs/>
        </w:rPr>
        <w:t xml:space="preserve"> = 30kgs, y</w:t>
      </w:r>
      <w:r w:rsidRPr="009C2DDE">
        <w:rPr>
          <w:rFonts w:eastAsia="Times New Roman"/>
          <w:b/>
          <w:bCs/>
          <w:vertAlign w:val="subscript"/>
        </w:rPr>
        <w:t>2</w:t>
      </w:r>
      <w:r w:rsidRPr="009C2DDE">
        <w:rPr>
          <w:rFonts w:eastAsia="Times New Roman"/>
          <w:b/>
          <w:bCs/>
        </w:rPr>
        <w:t xml:space="preserve"> = 0.311</w:t>
      </w:r>
      <w:r w:rsidRPr="009C2DDE">
        <w:rPr>
          <w:rFonts w:eastAsia="Times New Roman"/>
        </w:rPr>
        <w:t>).</w:t>
      </w:r>
    </w:p>
    <w:p w:rsidR="000D35BF" w:rsidRPr="009C2DDE" w:rsidP="000D35BF">
      <w:r w:rsidRPr="009C2DDE">
        <w:t>Minimum pen area (y) = 0.238 + ((23 – 20) * (0.311 – 0.238)) / (30 – 20)</w:t>
      </w:r>
    </w:p>
    <w:p w:rsidR="000D35BF" w:rsidRPr="009C2DDE" w:rsidP="000D35BF">
      <w:r w:rsidRPr="009C2DDE">
        <w:t>                                            = 0.238 + (3 * 0.073) / 10</w:t>
      </w:r>
    </w:p>
    <w:p w:rsidR="000D35BF" w:rsidRPr="009C2DDE" w:rsidP="000D35BF">
      <w:r w:rsidRPr="009C2DDE">
        <w:t>                                            = 0.238 + 0.0219</w:t>
      </w:r>
    </w:p>
    <w:p w:rsidR="000D35BF" w:rsidRPr="009C2DDE" w:rsidP="000D35BF">
      <w:r w:rsidRPr="009C2DDE">
        <w:t>                                            = 0.259</w:t>
      </w:r>
    </w:p>
    <w:p w:rsidR="000D35BF" w:rsidRPr="009C2DDE" w:rsidP="000D35BF">
      <w:r w:rsidRPr="009C2DDE">
        <w:t>Minimum pen area for a 23kg animal = 0.26m</w:t>
      </w:r>
      <w:r w:rsidRPr="009C2DDE">
        <w:rPr>
          <w:vertAlign w:val="superscript"/>
        </w:rPr>
        <w:t>2</w:t>
      </w:r>
    </w:p>
    <w:p w:rsidR="00EB36C8" w:rsidP="00BA1C68">
      <w:pPr>
        <w:pStyle w:val="BoxHeading"/>
      </w:pPr>
      <w:r w:rsidRPr="00145609">
        <w:t>R</w:t>
      </w:r>
      <w:r>
        <w:t>ationale</w:t>
      </w:r>
      <w:r w:rsidRPr="00145609">
        <w:t>:</w:t>
      </w:r>
    </w:p>
    <w:p w:rsidR="00EB36C8" w:rsidP="00BA1C68">
      <w:pPr>
        <w:pStyle w:val="BoxText"/>
      </w:pPr>
      <w:r>
        <w:t>The changes clarify the definition of linear interpolation and corrects an error in the formula for calculating minimum pen area.</w:t>
      </w:r>
    </w:p>
    <w:p w:rsidR="000D35BF" w:rsidRPr="00E3570C" w:rsidP="001C3F20">
      <w:pPr>
        <w:pStyle w:val="Heading2"/>
      </w:pPr>
      <w:r w:rsidRPr="002D2633">
        <w:t>Aircraft crate pen area for alpacas</w:t>
      </w:r>
    </w:p>
    <w:p w:rsidR="000D35BF" w:rsidRPr="001C3F20" w:rsidP="000D35BF">
      <w:pPr>
        <w:spacing w:after="160" w:line="259" w:lineRule="auto"/>
        <w:rPr>
          <w:i/>
          <w:iCs/>
        </w:rPr>
      </w:pPr>
      <w:r>
        <w:rPr>
          <w:i/>
          <w:iCs/>
        </w:rPr>
        <w:t>(</w:t>
      </w:r>
      <w:r w:rsidRPr="001C3F20">
        <w:rPr>
          <w:i/>
          <w:iCs/>
        </w:rPr>
        <w:t>This version of Table 25 comes into force on 30 November 2023</w:t>
      </w:r>
      <w:r w:rsidR="00786AE7">
        <w:rPr>
          <w:i/>
          <w:iCs/>
        </w:rPr>
        <w:t>.</w:t>
      </w:r>
      <w:r>
        <w:rPr>
          <w:i/>
          <w:iCs/>
        </w:rPr>
        <w:t>)</w:t>
      </w:r>
    </w:p>
    <w:p w:rsidR="000D35BF" w:rsidRPr="00414929" w:rsidP="000D35BF">
      <w:pPr>
        <w:rPr>
          <w:b/>
          <w:bCs/>
          <w:color w:val="000000"/>
          <w:lang w:val="en-US" w:eastAsia="en-AU"/>
        </w:rPr>
      </w:pPr>
      <w:r w:rsidRPr="00414929">
        <w:rPr>
          <w:b/>
          <w:bCs/>
          <w:color w:val="000000"/>
          <w:lang w:val="en-US" w:eastAsia="en-AU"/>
        </w:rPr>
        <w:t>Table 25 Minimum aircraft crate pen area for alpacas exported by air</w:t>
      </w:r>
    </w:p>
    <w:tbl>
      <w:tblPr>
        <w:tblW w:w="3261" w:type="dxa"/>
        <w:tblInd w:w="0" w:type="dxa"/>
        <w:tblCellMar>
          <w:top w:w="0" w:type="dxa"/>
          <w:left w:w="0" w:type="dxa"/>
          <w:bottom w:w="0" w:type="dxa"/>
          <w:right w:w="0" w:type="dxa"/>
        </w:tblCellMar>
        <w:tblLook w:val="04A0"/>
      </w:tblPr>
      <w:tblGrid>
        <w:gridCol w:w="1520"/>
        <w:gridCol w:w="1741"/>
      </w:tblGrid>
      <w:tr w:rsidTr="00C64E4F">
        <w:tblPrEx>
          <w:tblW w:w="3261" w:type="dxa"/>
          <w:tblInd w:w="0" w:type="dxa"/>
          <w:tblCellMar>
            <w:top w:w="0" w:type="dxa"/>
            <w:left w:w="0" w:type="dxa"/>
            <w:bottom w:w="0" w:type="dxa"/>
            <w:right w:w="0" w:type="dxa"/>
          </w:tblCellMar>
          <w:tblLook w:val="04A0"/>
        </w:tblPrEx>
        <w:trPr>
          <w:trHeight w:val="540"/>
        </w:trPr>
        <w:tc>
          <w:tcPr>
            <w:tcW w:w="1520"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0D35BF" w:rsidP="00C64E4F">
            <w:pPr>
              <w:spacing w:after="120" w:line="276" w:lineRule="auto"/>
              <w:rPr>
                <w:rStyle w:val="DefaultParagraphFont"/>
                <w:rFonts w:ascii="Cambria" w:hAnsi="Cambria" w:eastAsiaTheme="minorHAnsi" w:cstheme="minorBidi"/>
                <w:b/>
                <w:bCs/>
                <w:color w:val="000000"/>
                <w:sz w:val="18"/>
                <w:szCs w:val="18"/>
                <w:lang w:val="en-AU" w:eastAsia="en-AU" w:bidi="ar-SA"/>
              </w:rPr>
            </w:pPr>
            <w:r>
              <w:rPr>
                <w:rFonts w:ascii="Cambria" w:hAnsi="Cambria" w:eastAsiaTheme="minorHAnsi" w:cstheme="minorBidi"/>
                <w:b/>
                <w:bCs/>
                <w:color w:val="000000"/>
                <w:sz w:val="18"/>
                <w:szCs w:val="18"/>
                <w:lang w:val="en-AU" w:eastAsia="ja-JP" w:bidi="ar-SA"/>
              </w:rPr>
              <w:t>Liveweight (kg)</w:t>
            </w:r>
          </w:p>
        </w:tc>
        <w:tc>
          <w:tcPr>
            <w:tcW w:w="1741"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0D35BF" w:rsidP="00C64E4F">
            <w:pPr>
              <w:spacing w:after="120" w:line="276" w:lineRule="auto"/>
              <w:rPr>
                <w:rStyle w:val="DefaultParagraphFont"/>
                <w:rFonts w:ascii="Cambria" w:hAnsi="Cambria" w:eastAsiaTheme="minorHAnsi" w:cstheme="minorBidi"/>
                <w:b/>
                <w:bCs/>
                <w:color w:val="000000"/>
                <w:sz w:val="18"/>
                <w:szCs w:val="18"/>
                <w:lang w:val="en-AU" w:eastAsia="en-AU" w:bidi="ar-SA"/>
              </w:rPr>
            </w:pPr>
            <w:r>
              <w:rPr>
                <w:rFonts w:ascii="Cambria" w:hAnsi="Cambria" w:eastAsiaTheme="minorHAnsi" w:cstheme="minorBidi"/>
                <w:b/>
                <w:bCs/>
                <w:color w:val="000000"/>
                <w:sz w:val="18"/>
                <w:szCs w:val="18"/>
                <w:lang w:val="en-AU" w:eastAsia="ja-JP" w:bidi="ar-SA"/>
              </w:rPr>
              <w:t>Minimum pen area (m</w:t>
            </w:r>
            <w:r>
              <w:rPr>
                <w:rFonts w:ascii="Cambria" w:hAnsi="Cambria" w:eastAsiaTheme="minorHAnsi" w:cstheme="minorBidi"/>
                <w:b/>
                <w:bCs/>
                <w:color w:val="000000"/>
                <w:sz w:val="18"/>
                <w:szCs w:val="18"/>
                <w:vertAlign w:val="superscript"/>
                <w:lang w:val="en-AU" w:eastAsia="ja-JP" w:bidi="ar-SA"/>
              </w:rPr>
              <w:t>2</w:t>
            </w:r>
            <w:r>
              <w:rPr>
                <w:rFonts w:ascii="Cambria" w:hAnsi="Cambria" w:eastAsiaTheme="minorHAnsi" w:cstheme="minorBidi"/>
                <w:b/>
                <w:bCs/>
                <w:color w:val="000000"/>
                <w:sz w:val="18"/>
                <w:szCs w:val="18"/>
                <w:lang w:val="en-AU" w:eastAsia="ja-JP" w:bidi="ar-SA"/>
              </w:rPr>
              <w:t>/head)</w:t>
            </w:r>
          </w:p>
        </w:tc>
      </w:tr>
      <w:tr w:rsidTr="00C64E4F">
        <w:tblPrEx>
          <w:tblW w:w="3261" w:type="dxa"/>
          <w:tblInd w:w="0" w:type="dxa"/>
          <w:tblCellMar>
            <w:top w:w="0" w:type="dxa"/>
            <w:left w:w="0" w:type="dxa"/>
            <w:bottom w:w="0" w:type="dxa"/>
            <w:right w:w="0" w:type="dxa"/>
          </w:tblCellMar>
          <w:tblLook w:val="04A0"/>
        </w:tblPrEx>
        <w:trPr>
          <w:trHeight w:val="300"/>
        </w:trPr>
        <w:tc>
          <w:tcPr>
            <w:tcW w:w="1520" w:type="dxa"/>
            <w:tcMar>
              <w:top w:w="0" w:type="dxa"/>
              <w:left w:w="108" w:type="dxa"/>
              <w:bottom w:w="0" w:type="dxa"/>
              <w:right w:w="108" w:type="dxa"/>
            </w:tcMar>
            <w:vAlign w:val="center"/>
            <w:hideMark/>
          </w:tcPr>
          <w:p w:rsidR="000D35BF" w:rsidP="00C64E4F">
            <w:pPr>
              <w:spacing w:after="120" w:line="276" w:lineRule="auto"/>
              <w:jc w:val="right"/>
              <w:rPr>
                <w:rStyle w:val="DefaultParagraphFont"/>
                <w:rFonts w:ascii="Cambria" w:hAnsi="Cambria" w:eastAsiaTheme="minorHAnsi" w:cstheme="minorBidi"/>
                <w:color w:val="000000"/>
                <w:sz w:val="18"/>
                <w:szCs w:val="18"/>
                <w:lang w:val="en-AU" w:eastAsia="en-AU" w:bidi="ar-SA"/>
              </w:rPr>
            </w:pPr>
            <w:r>
              <w:rPr>
                <w:rFonts w:ascii="Cambria" w:hAnsi="Cambria" w:eastAsiaTheme="minorHAnsi" w:cstheme="minorBidi"/>
                <w:color w:val="000000"/>
                <w:sz w:val="18"/>
                <w:szCs w:val="18"/>
                <w:lang w:val="en-US" w:eastAsia="en-AU" w:bidi="ar-SA"/>
              </w:rPr>
              <w:t>20</w:t>
            </w:r>
          </w:p>
        </w:tc>
        <w:tc>
          <w:tcPr>
            <w:tcW w:w="1741" w:type="dxa"/>
            <w:tcMar>
              <w:top w:w="0" w:type="dxa"/>
              <w:left w:w="108" w:type="dxa"/>
              <w:bottom w:w="0" w:type="dxa"/>
              <w:right w:w="108" w:type="dxa"/>
            </w:tcMar>
            <w:vAlign w:val="center"/>
            <w:hideMark/>
          </w:tcPr>
          <w:p w:rsidR="000D35BF" w:rsidP="00C64E4F">
            <w:pPr>
              <w:spacing w:after="120" w:line="276" w:lineRule="auto"/>
              <w:jc w:val="right"/>
              <w:rPr>
                <w:rStyle w:val="DefaultParagraphFont"/>
                <w:rFonts w:ascii="Cambria" w:hAnsi="Cambria" w:eastAsiaTheme="minorHAnsi" w:cstheme="minorBidi"/>
                <w:color w:val="000000"/>
                <w:sz w:val="18"/>
                <w:szCs w:val="18"/>
                <w:lang w:val="en-AU" w:eastAsia="en-AU" w:bidi="ar-SA"/>
              </w:rPr>
            </w:pPr>
            <w:r>
              <w:rPr>
                <w:rFonts w:ascii="Cambria" w:hAnsi="Cambria" w:eastAsiaTheme="minorHAnsi" w:cstheme="minorBidi"/>
                <w:color w:val="000000"/>
                <w:sz w:val="18"/>
                <w:szCs w:val="18"/>
                <w:lang w:val="en-US" w:eastAsia="en-AU" w:bidi="ar-SA"/>
              </w:rPr>
              <w:t>0.238</w:t>
            </w:r>
          </w:p>
        </w:tc>
      </w:tr>
      <w:tr w:rsidTr="00C64E4F">
        <w:tblPrEx>
          <w:tblW w:w="3261" w:type="dxa"/>
          <w:tblInd w:w="0" w:type="dxa"/>
          <w:tblCellMar>
            <w:top w:w="0" w:type="dxa"/>
            <w:left w:w="0" w:type="dxa"/>
            <w:bottom w:w="0" w:type="dxa"/>
            <w:right w:w="0" w:type="dxa"/>
          </w:tblCellMar>
          <w:tblLook w:val="04A0"/>
        </w:tblPrEx>
        <w:trPr>
          <w:trHeight w:val="300"/>
        </w:trPr>
        <w:tc>
          <w:tcPr>
            <w:tcW w:w="1520" w:type="dxa"/>
            <w:tcMar>
              <w:top w:w="0" w:type="dxa"/>
              <w:left w:w="108" w:type="dxa"/>
              <w:bottom w:w="0" w:type="dxa"/>
              <w:right w:w="108" w:type="dxa"/>
            </w:tcMar>
            <w:vAlign w:val="center"/>
            <w:hideMark/>
          </w:tcPr>
          <w:p w:rsidR="000D35BF" w:rsidP="00C64E4F">
            <w:pPr>
              <w:spacing w:after="120" w:line="276" w:lineRule="auto"/>
              <w:jc w:val="right"/>
              <w:rPr>
                <w:rStyle w:val="DefaultParagraphFont"/>
                <w:rFonts w:ascii="Cambria" w:hAnsi="Cambria" w:eastAsiaTheme="minorHAnsi" w:cstheme="minorBidi"/>
                <w:color w:val="000000"/>
                <w:sz w:val="18"/>
                <w:szCs w:val="18"/>
                <w:lang w:val="en-AU" w:eastAsia="en-AU" w:bidi="ar-SA"/>
              </w:rPr>
            </w:pPr>
            <w:r>
              <w:rPr>
                <w:rFonts w:ascii="Cambria" w:hAnsi="Cambria" w:eastAsiaTheme="minorHAnsi" w:cstheme="minorBidi"/>
                <w:color w:val="000000"/>
                <w:sz w:val="18"/>
                <w:szCs w:val="18"/>
                <w:lang w:val="en-US" w:eastAsia="en-AU" w:bidi="ar-SA"/>
              </w:rPr>
              <w:t>30</w:t>
            </w:r>
          </w:p>
        </w:tc>
        <w:tc>
          <w:tcPr>
            <w:tcW w:w="1741" w:type="dxa"/>
            <w:tcMar>
              <w:top w:w="0" w:type="dxa"/>
              <w:left w:w="108" w:type="dxa"/>
              <w:bottom w:w="0" w:type="dxa"/>
              <w:right w:w="108" w:type="dxa"/>
            </w:tcMar>
            <w:vAlign w:val="center"/>
            <w:hideMark/>
          </w:tcPr>
          <w:p w:rsidR="000D35BF" w:rsidP="00C64E4F">
            <w:pPr>
              <w:spacing w:after="120" w:line="276" w:lineRule="auto"/>
              <w:jc w:val="right"/>
              <w:rPr>
                <w:rStyle w:val="DefaultParagraphFont"/>
                <w:rFonts w:ascii="Cambria" w:hAnsi="Cambria" w:eastAsiaTheme="minorHAnsi" w:cstheme="minorBidi"/>
                <w:color w:val="000000"/>
                <w:sz w:val="18"/>
                <w:szCs w:val="18"/>
                <w:lang w:val="en-AU" w:eastAsia="en-AU" w:bidi="ar-SA"/>
              </w:rPr>
            </w:pPr>
            <w:r>
              <w:rPr>
                <w:rFonts w:ascii="Cambria" w:hAnsi="Cambria" w:eastAsiaTheme="minorHAnsi" w:cstheme="minorBidi"/>
                <w:color w:val="000000"/>
                <w:sz w:val="18"/>
                <w:szCs w:val="18"/>
                <w:lang w:val="en-US" w:eastAsia="en-AU" w:bidi="ar-SA"/>
              </w:rPr>
              <w:t>0.311</w:t>
            </w:r>
          </w:p>
        </w:tc>
      </w:tr>
      <w:tr w:rsidTr="00C64E4F">
        <w:tblPrEx>
          <w:tblW w:w="3261" w:type="dxa"/>
          <w:tblInd w:w="0" w:type="dxa"/>
          <w:tblCellMar>
            <w:top w:w="0" w:type="dxa"/>
            <w:left w:w="0" w:type="dxa"/>
            <w:bottom w:w="0" w:type="dxa"/>
            <w:right w:w="0" w:type="dxa"/>
          </w:tblCellMar>
          <w:tblLook w:val="04A0"/>
        </w:tblPrEx>
        <w:trPr>
          <w:trHeight w:val="300"/>
        </w:trPr>
        <w:tc>
          <w:tcPr>
            <w:tcW w:w="1520" w:type="dxa"/>
            <w:tcMar>
              <w:top w:w="0" w:type="dxa"/>
              <w:left w:w="108" w:type="dxa"/>
              <w:bottom w:w="0" w:type="dxa"/>
              <w:right w:w="108" w:type="dxa"/>
            </w:tcMar>
            <w:vAlign w:val="center"/>
            <w:hideMark/>
          </w:tcPr>
          <w:p w:rsidR="000D35BF" w:rsidP="00C64E4F">
            <w:pPr>
              <w:spacing w:after="120" w:line="276" w:lineRule="auto"/>
              <w:jc w:val="right"/>
              <w:rPr>
                <w:rStyle w:val="DefaultParagraphFont"/>
                <w:rFonts w:ascii="Cambria" w:hAnsi="Cambria" w:eastAsiaTheme="minorHAnsi" w:cstheme="minorBidi"/>
                <w:color w:val="000000"/>
                <w:sz w:val="18"/>
                <w:szCs w:val="18"/>
                <w:lang w:val="en-AU" w:eastAsia="en-AU" w:bidi="ar-SA"/>
              </w:rPr>
            </w:pPr>
            <w:r>
              <w:rPr>
                <w:rFonts w:ascii="Cambria" w:hAnsi="Cambria" w:eastAsiaTheme="minorHAnsi" w:cstheme="minorBidi"/>
                <w:color w:val="000000"/>
                <w:sz w:val="18"/>
                <w:szCs w:val="18"/>
                <w:lang w:val="en-US" w:eastAsia="en-AU" w:bidi="ar-SA"/>
              </w:rPr>
              <w:t>40</w:t>
            </w:r>
          </w:p>
        </w:tc>
        <w:tc>
          <w:tcPr>
            <w:tcW w:w="1741" w:type="dxa"/>
            <w:tcMar>
              <w:top w:w="0" w:type="dxa"/>
              <w:left w:w="108" w:type="dxa"/>
              <w:bottom w:w="0" w:type="dxa"/>
              <w:right w:w="108" w:type="dxa"/>
            </w:tcMar>
            <w:vAlign w:val="center"/>
            <w:hideMark/>
          </w:tcPr>
          <w:p w:rsidR="000D35BF" w:rsidP="00C64E4F">
            <w:pPr>
              <w:spacing w:after="120" w:line="276" w:lineRule="auto"/>
              <w:jc w:val="right"/>
              <w:rPr>
                <w:rStyle w:val="DefaultParagraphFont"/>
                <w:rFonts w:ascii="Cambria" w:hAnsi="Cambria" w:eastAsiaTheme="minorHAnsi" w:cstheme="minorBidi"/>
                <w:color w:val="000000"/>
                <w:sz w:val="18"/>
                <w:szCs w:val="18"/>
                <w:lang w:val="en-AU" w:eastAsia="en-AU" w:bidi="ar-SA"/>
              </w:rPr>
            </w:pPr>
            <w:r>
              <w:rPr>
                <w:rFonts w:ascii="Cambria" w:hAnsi="Cambria" w:eastAsiaTheme="minorHAnsi" w:cstheme="minorBidi"/>
                <w:color w:val="000000"/>
                <w:sz w:val="18"/>
                <w:szCs w:val="18"/>
                <w:lang w:val="en-US" w:eastAsia="en-AU" w:bidi="ar-SA"/>
              </w:rPr>
              <w:t>0.377</w:t>
            </w:r>
          </w:p>
        </w:tc>
      </w:tr>
      <w:tr w:rsidTr="00C64E4F">
        <w:tblPrEx>
          <w:tblW w:w="3261" w:type="dxa"/>
          <w:tblInd w:w="0" w:type="dxa"/>
          <w:tblCellMar>
            <w:top w:w="0" w:type="dxa"/>
            <w:left w:w="0" w:type="dxa"/>
            <w:bottom w:w="0" w:type="dxa"/>
            <w:right w:w="0" w:type="dxa"/>
          </w:tblCellMar>
          <w:tblLook w:val="04A0"/>
        </w:tblPrEx>
        <w:trPr>
          <w:trHeight w:val="300"/>
        </w:trPr>
        <w:tc>
          <w:tcPr>
            <w:tcW w:w="1520" w:type="dxa"/>
            <w:tcMar>
              <w:top w:w="0" w:type="dxa"/>
              <w:left w:w="108" w:type="dxa"/>
              <w:bottom w:w="0" w:type="dxa"/>
              <w:right w:w="108" w:type="dxa"/>
            </w:tcMar>
            <w:vAlign w:val="center"/>
            <w:hideMark/>
          </w:tcPr>
          <w:p w:rsidR="000D35BF" w:rsidP="00C64E4F">
            <w:pPr>
              <w:spacing w:after="120" w:line="276" w:lineRule="auto"/>
              <w:jc w:val="right"/>
              <w:rPr>
                <w:rStyle w:val="DefaultParagraphFont"/>
                <w:rFonts w:ascii="Cambria" w:hAnsi="Cambria" w:eastAsiaTheme="minorHAnsi" w:cstheme="minorBidi"/>
                <w:color w:val="000000"/>
                <w:sz w:val="18"/>
                <w:szCs w:val="18"/>
                <w:lang w:val="en-AU" w:eastAsia="en-AU" w:bidi="ar-SA"/>
              </w:rPr>
            </w:pPr>
            <w:r>
              <w:rPr>
                <w:rFonts w:ascii="Cambria" w:hAnsi="Cambria" w:eastAsiaTheme="minorHAnsi" w:cstheme="minorBidi"/>
                <w:color w:val="000000"/>
                <w:sz w:val="18"/>
                <w:szCs w:val="18"/>
                <w:lang w:val="en-US" w:eastAsia="en-AU" w:bidi="ar-SA"/>
              </w:rPr>
              <w:t>50</w:t>
            </w:r>
          </w:p>
        </w:tc>
        <w:tc>
          <w:tcPr>
            <w:tcW w:w="1741" w:type="dxa"/>
            <w:tcMar>
              <w:top w:w="0" w:type="dxa"/>
              <w:left w:w="108" w:type="dxa"/>
              <w:bottom w:w="0" w:type="dxa"/>
              <w:right w:w="108" w:type="dxa"/>
            </w:tcMar>
            <w:vAlign w:val="center"/>
            <w:hideMark/>
          </w:tcPr>
          <w:p w:rsidR="000D35BF" w:rsidP="00C64E4F">
            <w:pPr>
              <w:spacing w:after="120" w:line="276" w:lineRule="auto"/>
              <w:jc w:val="right"/>
              <w:rPr>
                <w:rStyle w:val="DefaultParagraphFont"/>
                <w:rFonts w:ascii="Cambria" w:hAnsi="Cambria" w:eastAsiaTheme="minorHAnsi" w:cstheme="minorBidi"/>
                <w:color w:val="000000"/>
                <w:sz w:val="18"/>
                <w:szCs w:val="18"/>
                <w:lang w:val="en-AU" w:eastAsia="en-AU" w:bidi="ar-SA"/>
              </w:rPr>
            </w:pPr>
            <w:r>
              <w:rPr>
                <w:rFonts w:ascii="Cambria" w:hAnsi="Cambria" w:eastAsiaTheme="minorHAnsi" w:cstheme="minorBidi"/>
                <w:color w:val="000000"/>
                <w:sz w:val="18"/>
                <w:szCs w:val="18"/>
                <w:lang w:val="en-US" w:eastAsia="en-AU" w:bidi="ar-SA"/>
              </w:rPr>
              <w:t>0.436</w:t>
            </w:r>
          </w:p>
        </w:tc>
      </w:tr>
      <w:tr w:rsidTr="00C64E4F">
        <w:tblPrEx>
          <w:tblW w:w="3261" w:type="dxa"/>
          <w:tblInd w:w="0" w:type="dxa"/>
          <w:tblCellMar>
            <w:top w:w="0" w:type="dxa"/>
            <w:left w:w="0" w:type="dxa"/>
            <w:bottom w:w="0" w:type="dxa"/>
            <w:right w:w="0" w:type="dxa"/>
          </w:tblCellMar>
          <w:tblLook w:val="04A0"/>
        </w:tblPrEx>
        <w:trPr>
          <w:trHeight w:val="300"/>
        </w:trPr>
        <w:tc>
          <w:tcPr>
            <w:tcW w:w="1520" w:type="dxa"/>
            <w:tcMar>
              <w:top w:w="0" w:type="dxa"/>
              <w:left w:w="108" w:type="dxa"/>
              <w:bottom w:w="0" w:type="dxa"/>
              <w:right w:w="108" w:type="dxa"/>
            </w:tcMar>
            <w:vAlign w:val="center"/>
            <w:hideMark/>
          </w:tcPr>
          <w:p w:rsidR="000D35BF" w:rsidP="00C64E4F">
            <w:pPr>
              <w:spacing w:after="120" w:line="276" w:lineRule="auto"/>
              <w:jc w:val="right"/>
              <w:rPr>
                <w:rStyle w:val="DefaultParagraphFont"/>
                <w:rFonts w:ascii="Cambria" w:hAnsi="Cambria" w:eastAsiaTheme="minorHAnsi" w:cstheme="minorBidi"/>
                <w:color w:val="000000"/>
                <w:sz w:val="18"/>
                <w:szCs w:val="18"/>
                <w:lang w:val="en-AU" w:eastAsia="en-AU" w:bidi="ar-SA"/>
              </w:rPr>
            </w:pPr>
            <w:r>
              <w:rPr>
                <w:rFonts w:ascii="Cambria" w:hAnsi="Cambria" w:eastAsiaTheme="minorHAnsi" w:cstheme="minorBidi"/>
                <w:color w:val="000000"/>
                <w:sz w:val="18"/>
                <w:szCs w:val="18"/>
                <w:lang w:val="en-US" w:eastAsia="en-AU" w:bidi="ar-SA"/>
              </w:rPr>
              <w:t>60</w:t>
            </w:r>
          </w:p>
        </w:tc>
        <w:tc>
          <w:tcPr>
            <w:tcW w:w="1741" w:type="dxa"/>
            <w:tcMar>
              <w:top w:w="0" w:type="dxa"/>
              <w:left w:w="108" w:type="dxa"/>
              <w:bottom w:w="0" w:type="dxa"/>
              <w:right w:w="108" w:type="dxa"/>
            </w:tcMar>
            <w:vAlign w:val="center"/>
            <w:hideMark/>
          </w:tcPr>
          <w:p w:rsidR="000D35BF" w:rsidP="00C64E4F">
            <w:pPr>
              <w:spacing w:after="120" w:line="276" w:lineRule="auto"/>
              <w:jc w:val="right"/>
              <w:rPr>
                <w:rStyle w:val="DefaultParagraphFont"/>
                <w:rFonts w:ascii="Cambria" w:hAnsi="Cambria" w:eastAsiaTheme="minorHAnsi" w:cstheme="minorBidi"/>
                <w:color w:val="000000"/>
                <w:sz w:val="18"/>
                <w:szCs w:val="18"/>
                <w:lang w:val="en-AU" w:eastAsia="en-AU" w:bidi="ar-SA"/>
              </w:rPr>
            </w:pPr>
            <w:r>
              <w:rPr>
                <w:rFonts w:ascii="Cambria" w:hAnsi="Cambria" w:eastAsiaTheme="minorHAnsi" w:cstheme="minorBidi"/>
                <w:color w:val="000000"/>
                <w:sz w:val="18"/>
                <w:szCs w:val="18"/>
                <w:lang w:val="en-US" w:eastAsia="en-AU" w:bidi="ar-SA"/>
              </w:rPr>
              <w:t>0.492</w:t>
            </w:r>
          </w:p>
        </w:tc>
      </w:tr>
      <w:tr w:rsidTr="00C64E4F">
        <w:tblPrEx>
          <w:tblW w:w="3261" w:type="dxa"/>
          <w:tblInd w:w="0" w:type="dxa"/>
          <w:tblCellMar>
            <w:top w:w="0" w:type="dxa"/>
            <w:left w:w="0" w:type="dxa"/>
            <w:bottom w:w="0" w:type="dxa"/>
            <w:right w:w="0" w:type="dxa"/>
          </w:tblCellMar>
          <w:tblLook w:val="04A0"/>
        </w:tblPrEx>
        <w:trPr>
          <w:trHeight w:val="300"/>
        </w:trPr>
        <w:tc>
          <w:tcPr>
            <w:tcW w:w="1520" w:type="dxa"/>
            <w:tcMar>
              <w:top w:w="0" w:type="dxa"/>
              <w:left w:w="108" w:type="dxa"/>
              <w:bottom w:w="0" w:type="dxa"/>
              <w:right w:w="108" w:type="dxa"/>
            </w:tcMar>
            <w:vAlign w:val="center"/>
            <w:hideMark/>
          </w:tcPr>
          <w:p w:rsidR="000D35BF" w:rsidP="00C64E4F">
            <w:pPr>
              <w:spacing w:after="120" w:line="276" w:lineRule="auto"/>
              <w:jc w:val="right"/>
              <w:rPr>
                <w:rStyle w:val="DefaultParagraphFont"/>
                <w:rFonts w:ascii="Cambria" w:hAnsi="Cambria" w:eastAsiaTheme="minorHAnsi" w:cstheme="minorBidi"/>
                <w:color w:val="000000"/>
                <w:sz w:val="18"/>
                <w:szCs w:val="18"/>
                <w:lang w:val="en-AU" w:eastAsia="en-AU" w:bidi="ar-SA"/>
              </w:rPr>
            </w:pPr>
            <w:r>
              <w:rPr>
                <w:rFonts w:ascii="Cambria" w:hAnsi="Cambria" w:eastAsiaTheme="minorHAnsi" w:cstheme="minorBidi"/>
                <w:color w:val="000000"/>
                <w:sz w:val="18"/>
                <w:szCs w:val="18"/>
                <w:lang w:val="en-US" w:eastAsia="en-AU" w:bidi="ar-SA"/>
              </w:rPr>
              <w:t>70</w:t>
            </w:r>
          </w:p>
        </w:tc>
        <w:tc>
          <w:tcPr>
            <w:tcW w:w="1741" w:type="dxa"/>
            <w:tcMar>
              <w:top w:w="0" w:type="dxa"/>
              <w:left w:w="108" w:type="dxa"/>
              <w:bottom w:w="0" w:type="dxa"/>
              <w:right w:w="108" w:type="dxa"/>
            </w:tcMar>
            <w:vAlign w:val="center"/>
            <w:hideMark/>
          </w:tcPr>
          <w:p w:rsidR="000D35BF" w:rsidP="00C64E4F">
            <w:pPr>
              <w:spacing w:after="120" w:line="276" w:lineRule="auto"/>
              <w:jc w:val="right"/>
              <w:rPr>
                <w:rStyle w:val="DefaultParagraphFont"/>
                <w:rFonts w:ascii="Cambria" w:hAnsi="Cambria" w:eastAsiaTheme="minorHAnsi" w:cstheme="minorBidi"/>
                <w:color w:val="000000"/>
                <w:sz w:val="18"/>
                <w:szCs w:val="18"/>
                <w:lang w:val="en-AU" w:eastAsia="en-AU" w:bidi="ar-SA"/>
              </w:rPr>
            </w:pPr>
            <w:r>
              <w:rPr>
                <w:rFonts w:ascii="Cambria" w:hAnsi="Cambria" w:eastAsiaTheme="minorHAnsi" w:cstheme="minorBidi"/>
                <w:color w:val="000000"/>
                <w:sz w:val="18"/>
                <w:szCs w:val="18"/>
                <w:lang w:val="en-US" w:eastAsia="en-AU" w:bidi="ar-SA"/>
              </w:rPr>
              <w:t>0.545</w:t>
            </w:r>
          </w:p>
        </w:tc>
      </w:tr>
      <w:tr w:rsidTr="00C64E4F">
        <w:tblPrEx>
          <w:tblW w:w="3261" w:type="dxa"/>
          <w:tblInd w:w="0" w:type="dxa"/>
          <w:tblCellMar>
            <w:top w:w="0" w:type="dxa"/>
            <w:left w:w="0" w:type="dxa"/>
            <w:bottom w:w="0" w:type="dxa"/>
            <w:right w:w="0" w:type="dxa"/>
          </w:tblCellMar>
          <w:tblLook w:val="04A0"/>
        </w:tblPrEx>
        <w:trPr>
          <w:trHeight w:val="300"/>
        </w:trPr>
        <w:tc>
          <w:tcPr>
            <w:tcW w:w="1520" w:type="dxa"/>
            <w:tcMar>
              <w:top w:w="0" w:type="dxa"/>
              <w:left w:w="108" w:type="dxa"/>
              <w:bottom w:w="0" w:type="dxa"/>
              <w:right w:w="108" w:type="dxa"/>
            </w:tcMar>
            <w:vAlign w:val="center"/>
            <w:hideMark/>
          </w:tcPr>
          <w:p w:rsidR="000D35BF" w:rsidP="00C64E4F">
            <w:pPr>
              <w:spacing w:after="120" w:line="276" w:lineRule="auto"/>
              <w:jc w:val="right"/>
              <w:rPr>
                <w:rStyle w:val="DefaultParagraphFont"/>
                <w:rFonts w:ascii="Cambria" w:hAnsi="Cambria" w:eastAsiaTheme="minorHAnsi" w:cstheme="minorBidi"/>
                <w:color w:val="000000"/>
                <w:sz w:val="18"/>
                <w:szCs w:val="18"/>
                <w:lang w:val="en-AU" w:eastAsia="en-AU" w:bidi="ar-SA"/>
              </w:rPr>
            </w:pPr>
            <w:r>
              <w:rPr>
                <w:rFonts w:ascii="Cambria" w:hAnsi="Cambria" w:eastAsiaTheme="minorHAnsi" w:cstheme="minorBidi"/>
                <w:color w:val="000000"/>
                <w:sz w:val="18"/>
                <w:szCs w:val="18"/>
                <w:lang w:val="en-AU" w:eastAsia="en-AU" w:bidi="ar-SA"/>
              </w:rPr>
              <w:t>80</w:t>
            </w:r>
          </w:p>
        </w:tc>
        <w:tc>
          <w:tcPr>
            <w:tcW w:w="1741" w:type="dxa"/>
            <w:tcMar>
              <w:top w:w="0" w:type="dxa"/>
              <w:left w:w="108" w:type="dxa"/>
              <w:bottom w:w="0" w:type="dxa"/>
              <w:right w:w="108" w:type="dxa"/>
            </w:tcMar>
            <w:vAlign w:val="center"/>
            <w:hideMark/>
          </w:tcPr>
          <w:p w:rsidR="000D35BF" w:rsidP="00C64E4F">
            <w:pPr>
              <w:spacing w:after="120" w:line="276" w:lineRule="auto"/>
              <w:jc w:val="right"/>
              <w:rPr>
                <w:rStyle w:val="DefaultParagraphFont"/>
                <w:rFonts w:ascii="Cambria" w:hAnsi="Cambria" w:eastAsiaTheme="minorHAnsi" w:cstheme="minorBidi"/>
                <w:color w:val="000000"/>
                <w:sz w:val="18"/>
                <w:szCs w:val="18"/>
                <w:lang w:val="en-AU" w:eastAsia="en-AU" w:bidi="ar-SA"/>
              </w:rPr>
            </w:pPr>
            <w:r>
              <w:rPr>
                <w:rFonts w:ascii="Cambria" w:hAnsi="Cambria" w:eastAsiaTheme="minorHAnsi" w:cstheme="minorBidi"/>
                <w:color w:val="000000"/>
                <w:sz w:val="18"/>
                <w:szCs w:val="18"/>
                <w:lang w:val="en-AU" w:eastAsia="en-AU" w:bidi="ar-SA"/>
              </w:rPr>
              <w:t>0.595</w:t>
            </w:r>
          </w:p>
        </w:tc>
      </w:tr>
      <w:tr w:rsidTr="00C64E4F">
        <w:tblPrEx>
          <w:tblW w:w="3261" w:type="dxa"/>
          <w:tblInd w:w="0" w:type="dxa"/>
          <w:tblCellMar>
            <w:top w:w="0" w:type="dxa"/>
            <w:left w:w="0" w:type="dxa"/>
            <w:bottom w:w="0" w:type="dxa"/>
            <w:right w:w="0" w:type="dxa"/>
          </w:tblCellMar>
          <w:tblLook w:val="04A0"/>
        </w:tblPrEx>
        <w:trPr>
          <w:trHeight w:val="300"/>
        </w:trPr>
        <w:tc>
          <w:tcPr>
            <w:tcW w:w="1520" w:type="dxa"/>
            <w:tcMar>
              <w:top w:w="0" w:type="dxa"/>
              <w:left w:w="108" w:type="dxa"/>
              <w:bottom w:w="0" w:type="dxa"/>
              <w:right w:w="108" w:type="dxa"/>
            </w:tcMar>
            <w:vAlign w:val="center"/>
          </w:tcPr>
          <w:p w:rsidR="000D35BF" w:rsidP="00C64E4F">
            <w:pPr>
              <w:spacing w:after="120" w:line="276" w:lineRule="auto"/>
              <w:jc w:val="right"/>
              <w:rPr>
                <w:rStyle w:val="DefaultParagraphFont"/>
                <w:rFonts w:ascii="Cambria" w:hAnsi="Cambria" w:eastAsiaTheme="minorHAnsi" w:cstheme="minorBidi"/>
                <w:color w:val="000000"/>
                <w:sz w:val="18"/>
                <w:szCs w:val="18"/>
                <w:lang w:val="en-AU" w:eastAsia="en-AU" w:bidi="ar-SA"/>
              </w:rPr>
            </w:pPr>
            <w:r>
              <w:rPr>
                <w:rFonts w:ascii="Cambria" w:hAnsi="Cambria" w:eastAsiaTheme="minorHAnsi" w:cstheme="minorBidi"/>
                <w:color w:val="000000"/>
                <w:sz w:val="18"/>
                <w:szCs w:val="18"/>
                <w:lang w:val="en-AU" w:eastAsia="en-AU" w:bidi="ar-SA"/>
              </w:rPr>
              <w:t>90</w:t>
            </w:r>
          </w:p>
        </w:tc>
        <w:tc>
          <w:tcPr>
            <w:tcW w:w="1741" w:type="dxa"/>
            <w:tcMar>
              <w:top w:w="0" w:type="dxa"/>
              <w:left w:w="108" w:type="dxa"/>
              <w:bottom w:w="0" w:type="dxa"/>
              <w:right w:w="108" w:type="dxa"/>
            </w:tcMar>
            <w:vAlign w:val="center"/>
          </w:tcPr>
          <w:p w:rsidR="000D35BF" w:rsidP="00C64E4F">
            <w:pPr>
              <w:spacing w:after="120" w:line="276" w:lineRule="auto"/>
              <w:jc w:val="right"/>
              <w:rPr>
                <w:rStyle w:val="DefaultParagraphFont"/>
                <w:rFonts w:ascii="Cambria" w:hAnsi="Cambria" w:eastAsiaTheme="minorHAnsi" w:cstheme="minorBidi"/>
                <w:color w:val="000000"/>
                <w:sz w:val="18"/>
                <w:szCs w:val="18"/>
                <w:lang w:val="en-AU" w:eastAsia="en-AU" w:bidi="ar-SA"/>
              </w:rPr>
            </w:pPr>
            <w:r>
              <w:rPr>
                <w:rFonts w:ascii="Cambria" w:hAnsi="Cambria" w:eastAsiaTheme="minorHAnsi" w:cstheme="minorBidi"/>
                <w:color w:val="000000"/>
                <w:sz w:val="18"/>
                <w:szCs w:val="18"/>
                <w:lang w:val="en-AU" w:eastAsia="en-AU" w:bidi="ar-SA"/>
              </w:rPr>
              <w:t>0.643</w:t>
            </w:r>
          </w:p>
        </w:tc>
      </w:tr>
      <w:tr w:rsidTr="00C64E4F">
        <w:tblPrEx>
          <w:tblW w:w="3261" w:type="dxa"/>
          <w:tblInd w:w="0" w:type="dxa"/>
          <w:tblCellMar>
            <w:top w:w="0" w:type="dxa"/>
            <w:left w:w="0" w:type="dxa"/>
            <w:bottom w:w="0" w:type="dxa"/>
            <w:right w:w="0" w:type="dxa"/>
          </w:tblCellMar>
          <w:tblLook w:val="04A0"/>
        </w:tblPrEx>
        <w:trPr>
          <w:trHeight w:val="300"/>
        </w:trPr>
        <w:tc>
          <w:tcPr>
            <w:tcW w:w="1520" w:type="dxa"/>
            <w:tcMar>
              <w:top w:w="0" w:type="dxa"/>
              <w:left w:w="108" w:type="dxa"/>
              <w:bottom w:w="0" w:type="dxa"/>
              <w:right w:w="108" w:type="dxa"/>
            </w:tcMar>
            <w:vAlign w:val="center"/>
          </w:tcPr>
          <w:p w:rsidR="000D35BF" w:rsidP="00C64E4F">
            <w:pPr>
              <w:spacing w:after="120" w:line="276" w:lineRule="auto"/>
              <w:jc w:val="right"/>
              <w:rPr>
                <w:rStyle w:val="DefaultParagraphFont"/>
                <w:rFonts w:ascii="Cambria" w:hAnsi="Cambria" w:eastAsiaTheme="minorHAnsi" w:cstheme="minorBidi"/>
                <w:color w:val="000000"/>
                <w:sz w:val="18"/>
                <w:szCs w:val="18"/>
                <w:lang w:val="en-AU" w:eastAsia="en-AU" w:bidi="ar-SA"/>
              </w:rPr>
            </w:pPr>
            <w:r>
              <w:rPr>
                <w:rFonts w:ascii="Cambria" w:hAnsi="Cambria" w:eastAsiaTheme="minorHAnsi" w:cstheme="minorBidi"/>
                <w:color w:val="000000"/>
                <w:sz w:val="18"/>
                <w:szCs w:val="18"/>
                <w:lang w:val="en-AU" w:eastAsia="ja-JP" w:bidi="ar-SA"/>
              </w:rPr>
              <w:t>100</w:t>
            </w:r>
          </w:p>
        </w:tc>
        <w:tc>
          <w:tcPr>
            <w:tcW w:w="1741" w:type="dxa"/>
            <w:tcMar>
              <w:top w:w="0" w:type="dxa"/>
              <w:left w:w="108" w:type="dxa"/>
              <w:bottom w:w="0" w:type="dxa"/>
              <w:right w:w="108" w:type="dxa"/>
            </w:tcMar>
            <w:vAlign w:val="center"/>
          </w:tcPr>
          <w:p w:rsidR="000D35BF" w:rsidP="00C64E4F">
            <w:pPr>
              <w:spacing w:after="120" w:line="276" w:lineRule="auto"/>
              <w:jc w:val="right"/>
              <w:rPr>
                <w:rStyle w:val="DefaultParagraphFont"/>
                <w:rFonts w:ascii="Cambria" w:hAnsi="Cambria" w:eastAsiaTheme="minorHAnsi" w:cstheme="minorBidi"/>
                <w:color w:val="000000"/>
                <w:sz w:val="18"/>
                <w:szCs w:val="18"/>
                <w:lang w:val="en-AU" w:eastAsia="en-AU" w:bidi="ar-SA"/>
              </w:rPr>
            </w:pPr>
            <w:r>
              <w:rPr>
                <w:rFonts w:ascii="Cambria" w:hAnsi="Cambria" w:eastAsiaTheme="minorHAnsi" w:cstheme="minorBidi"/>
                <w:color w:val="000000"/>
                <w:sz w:val="18"/>
                <w:szCs w:val="18"/>
                <w:lang w:val="en-AU" w:eastAsia="en-AU" w:bidi="ar-SA"/>
              </w:rPr>
              <w:t>0.689</w:t>
            </w:r>
          </w:p>
        </w:tc>
      </w:tr>
      <w:tr w:rsidTr="00C64E4F">
        <w:tblPrEx>
          <w:tblW w:w="3261" w:type="dxa"/>
          <w:tblInd w:w="0" w:type="dxa"/>
          <w:tblCellMar>
            <w:top w:w="0" w:type="dxa"/>
            <w:left w:w="0" w:type="dxa"/>
            <w:bottom w:w="0" w:type="dxa"/>
            <w:right w:w="0" w:type="dxa"/>
          </w:tblCellMar>
          <w:tblLook w:val="04A0"/>
        </w:tblPrEx>
        <w:trPr>
          <w:trHeight w:val="300"/>
        </w:trPr>
        <w:tc>
          <w:tcPr>
            <w:tcW w:w="1520" w:type="dxa"/>
            <w:tcMar>
              <w:top w:w="0" w:type="dxa"/>
              <w:left w:w="108" w:type="dxa"/>
              <w:bottom w:w="0" w:type="dxa"/>
              <w:right w:w="108" w:type="dxa"/>
            </w:tcMar>
            <w:vAlign w:val="center"/>
          </w:tcPr>
          <w:p w:rsidR="000D35BF" w:rsidP="00C64E4F">
            <w:pPr>
              <w:spacing w:after="120" w:line="276" w:lineRule="auto"/>
              <w:jc w:val="right"/>
              <w:rPr>
                <w:rStyle w:val="DefaultParagraphFont"/>
                <w:rFonts w:ascii="Cambria" w:hAnsi="Cambria" w:eastAsiaTheme="minorHAnsi" w:cstheme="minorBidi"/>
                <w:color w:val="000000"/>
                <w:sz w:val="18"/>
                <w:szCs w:val="18"/>
                <w:lang w:val="en-AU" w:eastAsia="en-AU" w:bidi="ar-SA"/>
              </w:rPr>
            </w:pPr>
            <w:r>
              <w:rPr>
                <w:rFonts w:ascii="Cambria" w:hAnsi="Cambria" w:eastAsiaTheme="minorHAnsi" w:cstheme="minorBidi"/>
                <w:color w:val="000000"/>
                <w:sz w:val="18"/>
                <w:szCs w:val="18"/>
                <w:lang w:val="en-AU" w:eastAsia="en-AU" w:bidi="ar-SA"/>
              </w:rPr>
              <w:t>110</w:t>
            </w:r>
          </w:p>
        </w:tc>
        <w:tc>
          <w:tcPr>
            <w:tcW w:w="1741" w:type="dxa"/>
            <w:tcMar>
              <w:top w:w="0" w:type="dxa"/>
              <w:left w:w="108" w:type="dxa"/>
              <w:bottom w:w="0" w:type="dxa"/>
              <w:right w:w="108" w:type="dxa"/>
            </w:tcMar>
            <w:vAlign w:val="center"/>
          </w:tcPr>
          <w:p w:rsidR="000D35BF" w:rsidP="00C64E4F">
            <w:pPr>
              <w:spacing w:after="120" w:line="276" w:lineRule="auto"/>
              <w:jc w:val="right"/>
              <w:rPr>
                <w:rStyle w:val="DefaultParagraphFont"/>
                <w:rFonts w:ascii="Cambria" w:hAnsi="Cambria" w:eastAsiaTheme="minorHAnsi" w:cstheme="minorBidi"/>
                <w:color w:val="000000"/>
                <w:sz w:val="18"/>
                <w:szCs w:val="18"/>
                <w:lang w:val="en-AU" w:eastAsia="en-AU" w:bidi="ar-SA"/>
              </w:rPr>
            </w:pPr>
            <w:r>
              <w:rPr>
                <w:rFonts w:ascii="Cambria" w:hAnsi="Cambria" w:eastAsiaTheme="minorHAnsi" w:cstheme="minorBidi"/>
                <w:color w:val="000000"/>
                <w:sz w:val="18"/>
                <w:szCs w:val="18"/>
                <w:lang w:val="en-AU" w:eastAsia="en-AU" w:bidi="ar-SA"/>
              </w:rPr>
              <w:t>0.734</w:t>
            </w:r>
          </w:p>
        </w:tc>
      </w:tr>
      <w:tr w:rsidTr="00C64E4F">
        <w:tblPrEx>
          <w:tblW w:w="3261" w:type="dxa"/>
          <w:tblInd w:w="0" w:type="dxa"/>
          <w:tblCellMar>
            <w:top w:w="0" w:type="dxa"/>
            <w:left w:w="0" w:type="dxa"/>
            <w:bottom w:w="0" w:type="dxa"/>
            <w:right w:w="0" w:type="dxa"/>
          </w:tblCellMar>
          <w:tblLook w:val="04A0"/>
        </w:tblPrEx>
        <w:trPr>
          <w:trHeight w:val="315"/>
        </w:trPr>
        <w:tc>
          <w:tcPr>
            <w:tcW w:w="1520" w:type="dxa"/>
            <w:tcBorders>
              <w:top w:val="nil"/>
              <w:left w:val="nil"/>
              <w:bottom w:val="single" w:sz="8" w:space="0" w:color="auto"/>
              <w:right w:val="nil"/>
            </w:tcBorders>
            <w:tcMar>
              <w:top w:w="0" w:type="dxa"/>
              <w:left w:w="108" w:type="dxa"/>
              <w:bottom w:w="0" w:type="dxa"/>
              <w:right w:w="108" w:type="dxa"/>
            </w:tcMar>
            <w:vAlign w:val="center"/>
          </w:tcPr>
          <w:p w:rsidR="000D35BF" w:rsidP="00C64E4F">
            <w:pPr>
              <w:spacing w:after="120" w:line="276" w:lineRule="auto"/>
              <w:jc w:val="right"/>
              <w:rPr>
                <w:rStyle w:val="DefaultParagraphFont"/>
                <w:rFonts w:ascii="Cambria" w:hAnsi="Cambria" w:eastAsiaTheme="minorHAnsi" w:cstheme="minorBidi"/>
                <w:color w:val="000000"/>
                <w:sz w:val="18"/>
                <w:szCs w:val="18"/>
                <w:lang w:val="en-AU" w:eastAsia="en-AU" w:bidi="ar-SA"/>
              </w:rPr>
            </w:pPr>
            <w:r>
              <w:rPr>
                <w:rFonts w:ascii="Cambria" w:hAnsi="Cambria" w:eastAsiaTheme="minorHAnsi" w:cstheme="minorBidi"/>
                <w:color w:val="000000"/>
                <w:sz w:val="18"/>
                <w:szCs w:val="18"/>
                <w:lang w:val="en-US" w:eastAsia="ja-JP" w:bidi="ar-SA"/>
              </w:rPr>
              <w:t>120</w:t>
            </w:r>
          </w:p>
        </w:tc>
        <w:tc>
          <w:tcPr>
            <w:tcW w:w="1741" w:type="dxa"/>
            <w:tcBorders>
              <w:top w:val="nil"/>
              <w:left w:val="nil"/>
              <w:bottom w:val="single" w:sz="8" w:space="0" w:color="auto"/>
              <w:right w:val="nil"/>
            </w:tcBorders>
            <w:tcMar>
              <w:top w:w="0" w:type="dxa"/>
              <w:left w:w="108" w:type="dxa"/>
              <w:bottom w:w="0" w:type="dxa"/>
              <w:right w:w="108" w:type="dxa"/>
            </w:tcMar>
            <w:vAlign w:val="center"/>
          </w:tcPr>
          <w:p w:rsidR="000D35BF" w:rsidP="00C64E4F">
            <w:pPr>
              <w:spacing w:after="120" w:line="276" w:lineRule="auto"/>
              <w:jc w:val="right"/>
              <w:rPr>
                <w:rStyle w:val="DefaultParagraphFont"/>
                <w:rFonts w:ascii="Cambria" w:hAnsi="Cambria" w:eastAsiaTheme="minorHAnsi" w:cstheme="minorBidi"/>
                <w:color w:val="000000"/>
                <w:sz w:val="18"/>
                <w:szCs w:val="18"/>
                <w:lang w:val="en-AU" w:eastAsia="en-AU" w:bidi="ar-SA"/>
              </w:rPr>
            </w:pPr>
            <w:r>
              <w:rPr>
                <w:rFonts w:ascii="Cambria" w:hAnsi="Cambria" w:eastAsiaTheme="minorHAnsi" w:cstheme="minorBidi"/>
                <w:color w:val="000000"/>
                <w:sz w:val="18"/>
                <w:szCs w:val="18"/>
                <w:lang w:val="en-AU" w:eastAsia="en-AU" w:bidi="ar-SA"/>
              </w:rPr>
              <w:t>0.778</w:t>
            </w:r>
          </w:p>
        </w:tc>
      </w:tr>
    </w:tbl>
    <w:p w:rsidR="00EB36C8" w:rsidP="00BA1C68">
      <w:pPr>
        <w:pStyle w:val="BoxHeading"/>
      </w:pPr>
      <w:r w:rsidRPr="00145609">
        <w:t>R</w:t>
      </w:r>
      <w:r>
        <w:t>ationale</w:t>
      </w:r>
      <w:r w:rsidRPr="00145609">
        <w:t>:</w:t>
      </w:r>
    </w:p>
    <w:p w:rsidR="00EB36C8" w:rsidP="00BA1C68">
      <w:pPr>
        <w:pStyle w:val="BoxText"/>
      </w:pPr>
      <w:r>
        <w:t xml:space="preserve">The changes provide a greater weight range for minimum </w:t>
      </w:r>
      <w:r>
        <w:t>aircraft crate pen area for alpacas exported by air.</w:t>
      </w:r>
    </w:p>
    <w:p w:rsidR="000D35BF" w:rsidRPr="00E3570C" w:rsidP="001C3F20">
      <w:pPr>
        <w:pStyle w:val="Heading2"/>
      </w:pPr>
      <w:r w:rsidRPr="002D2633">
        <w:t>Veterinary medicines and equipment</w:t>
      </w:r>
    </w:p>
    <w:p w:rsidR="000D35BF" w:rsidRPr="001C3F20" w:rsidP="000D35BF">
      <w:pPr>
        <w:spacing w:after="160" w:line="259" w:lineRule="auto"/>
        <w:rPr>
          <w:i/>
          <w:iCs/>
        </w:rPr>
      </w:pPr>
      <w:r>
        <w:rPr>
          <w:i/>
          <w:iCs/>
        </w:rPr>
        <w:t>(</w:t>
      </w:r>
      <w:r w:rsidRPr="001C3F20">
        <w:rPr>
          <w:i/>
          <w:iCs/>
        </w:rPr>
        <w:t>These versions of Tables 7 and 14 come into force on 30 November 2023</w:t>
      </w:r>
      <w:r w:rsidR="00786AE7">
        <w:rPr>
          <w:i/>
          <w:iCs/>
        </w:rPr>
        <w:t>.</w:t>
      </w:r>
      <w:r>
        <w:rPr>
          <w:i/>
          <w:iCs/>
        </w:rPr>
        <w:t>)</w:t>
      </w:r>
    </w:p>
    <w:p w:rsidR="000D35BF" w:rsidRPr="001C3F20" w:rsidP="001C3F20">
      <w:pPr>
        <w:rPr>
          <w:b/>
          <w:bCs/>
        </w:rPr>
      </w:pPr>
      <w:r w:rsidRPr="001C3F20">
        <w:rPr>
          <w:b/>
          <w:bCs/>
        </w:rPr>
        <w:t>Table 7 Minimum veterinary medicines and equipment for buffalo</w:t>
      </w:r>
    </w:p>
    <w:tbl>
      <w:tblPr>
        <w:tblpPr w:leftFromText="180" w:rightFromText="180" w:vertAnchor="text" w:tblpY="1"/>
        <w:tblOverlap w:val="never"/>
        <w:tblW w:w="5000" w:type="pct"/>
        <w:tblInd w:w="0" w:type="dxa"/>
        <w:tblBorders>
          <w:top w:val="single" w:sz="4" w:space="0" w:color="auto"/>
          <w:bottom w:val="single" w:sz="4" w:space="0" w:color="auto"/>
        </w:tblBorders>
        <w:tblCellMar>
          <w:top w:w="0" w:type="dxa"/>
          <w:left w:w="108" w:type="dxa"/>
          <w:bottom w:w="0" w:type="dxa"/>
          <w:right w:w="108" w:type="dxa"/>
        </w:tblCellMar>
        <w:tblLook w:val="01E0"/>
      </w:tblPr>
      <w:tblGrid>
        <w:gridCol w:w="1915"/>
        <w:gridCol w:w="2796"/>
        <w:gridCol w:w="2352"/>
        <w:gridCol w:w="2349"/>
      </w:tblGrid>
      <w:tr w:rsidTr="00C64E4F">
        <w:tblPrEx>
          <w:tblW w:w="5000" w:type="pct"/>
          <w:tblInd w:w="0" w:type="dxa"/>
          <w:tblBorders>
            <w:top w:val="single" w:sz="4" w:space="0" w:color="auto"/>
            <w:bottom w:val="single" w:sz="4" w:space="0" w:color="auto"/>
          </w:tblBorders>
          <w:tblCellMar>
            <w:top w:w="0" w:type="dxa"/>
            <w:left w:w="108" w:type="dxa"/>
            <w:bottom w:w="0" w:type="dxa"/>
            <w:right w:w="108" w:type="dxa"/>
          </w:tblCellMar>
          <w:tblLook w:val="01E0"/>
        </w:tblPrEx>
        <w:trPr>
          <w:trHeight w:val="749"/>
          <w:tblHeader/>
        </w:trPr>
        <w:tc>
          <w:tcPr>
            <w:tcW w:w="1017" w:type="pct"/>
            <w:tcBorders>
              <w:top w:val="single" w:sz="4" w:space="0" w:color="auto"/>
              <w:bottom w:val="single" w:sz="4" w:space="0" w:color="auto"/>
            </w:tcBorders>
          </w:tcPr>
          <w:p w:rsidR="000D35BF" w:rsidRPr="00F748CB" w:rsidP="00C64E4F">
            <w:pPr>
              <w:pStyle w:val="TableHeading"/>
              <w:keepNext/>
              <w:spacing w:before="60" w:after="60" w:line="240" w:lineRule="auto"/>
              <w:rPr>
                <w:rStyle w:val="DefaultParagraphFont"/>
                <w:rFonts w:asciiTheme="minorHAnsi" w:eastAsiaTheme="minorHAnsi" w:hAnsiTheme="minorHAnsi" w:cstheme="minorBidi"/>
                <w:b/>
                <w:sz w:val="19"/>
                <w:szCs w:val="22"/>
                <w:lang w:val="en-AU" w:eastAsia="en-US" w:bidi="ar-SA"/>
              </w:rPr>
            </w:pPr>
            <w:r w:rsidRPr="00F748CB">
              <w:rPr>
                <w:rFonts w:asciiTheme="minorHAnsi" w:eastAsiaTheme="minorHAnsi" w:hAnsiTheme="minorHAnsi" w:cstheme="minorBidi"/>
                <w:b/>
                <w:sz w:val="19"/>
                <w:szCs w:val="22"/>
                <w:lang w:val="en-AU" w:eastAsia="en-US" w:bidi="ar-SA"/>
              </w:rPr>
              <w:t>Category</w:t>
            </w:r>
          </w:p>
        </w:tc>
        <w:tc>
          <w:tcPr>
            <w:tcW w:w="1485" w:type="pct"/>
            <w:tcBorders>
              <w:top w:val="single" w:sz="4" w:space="0" w:color="auto"/>
              <w:bottom w:val="single" w:sz="4" w:space="0" w:color="auto"/>
            </w:tcBorders>
            <w:shd w:val="clear" w:color="auto" w:fill="auto"/>
          </w:tcPr>
          <w:p w:rsidR="000D35BF" w:rsidRPr="00F748CB" w:rsidP="00C64E4F">
            <w:pPr>
              <w:pStyle w:val="TableHeading"/>
              <w:keepNext/>
              <w:spacing w:before="60" w:after="60" w:line="240" w:lineRule="auto"/>
              <w:rPr>
                <w:rStyle w:val="DefaultParagraphFont"/>
                <w:rFonts w:asciiTheme="minorHAnsi" w:eastAsiaTheme="minorHAnsi" w:hAnsiTheme="minorHAnsi" w:cstheme="minorBidi"/>
                <w:b/>
                <w:sz w:val="19"/>
                <w:szCs w:val="22"/>
                <w:lang w:val="en-AU" w:eastAsia="en-US" w:bidi="ar-SA"/>
              </w:rPr>
            </w:pPr>
            <w:r w:rsidRPr="00F748CB">
              <w:rPr>
                <w:rFonts w:asciiTheme="minorHAnsi" w:eastAsiaTheme="minorHAnsi" w:hAnsiTheme="minorHAnsi" w:cstheme="minorBidi"/>
                <w:b/>
                <w:sz w:val="19"/>
                <w:szCs w:val="22"/>
                <w:lang w:val="en-AU" w:eastAsia="en-US" w:bidi="ar-SA"/>
              </w:rPr>
              <w:t xml:space="preserve">Medicines and </w:t>
            </w:r>
            <w:r w:rsidRPr="00F748CB">
              <w:rPr>
                <w:rFonts w:asciiTheme="minorHAnsi" w:eastAsiaTheme="minorHAnsi" w:hAnsiTheme="minorHAnsi" w:cstheme="minorBidi"/>
                <w:b/>
                <w:sz w:val="19"/>
                <w:szCs w:val="22"/>
                <w:lang w:val="en-AU" w:eastAsia="en-US" w:bidi="ar-SA"/>
              </w:rPr>
              <w:t>equipment (per 1,000 buffalo)</w:t>
            </w:r>
          </w:p>
        </w:tc>
        <w:tc>
          <w:tcPr>
            <w:tcW w:w="1249" w:type="pct"/>
            <w:tcBorders>
              <w:top w:val="single" w:sz="4" w:space="0" w:color="auto"/>
              <w:bottom w:val="single" w:sz="4" w:space="0" w:color="auto"/>
            </w:tcBorders>
          </w:tcPr>
          <w:p w:rsidR="000D35BF" w:rsidRPr="00F748CB" w:rsidP="00C64E4F">
            <w:pPr>
              <w:pStyle w:val="TableHeading"/>
              <w:keepNext/>
              <w:spacing w:before="60" w:after="60" w:line="240" w:lineRule="auto"/>
              <w:rPr>
                <w:rStyle w:val="DefaultParagraphFont"/>
                <w:rFonts w:asciiTheme="minorHAnsi" w:eastAsiaTheme="minorHAnsi" w:hAnsiTheme="minorHAnsi" w:cstheme="minorBidi"/>
                <w:b/>
                <w:sz w:val="19"/>
                <w:szCs w:val="22"/>
                <w:lang w:val="en-AU" w:eastAsia="en-US" w:bidi="ar-SA"/>
              </w:rPr>
            </w:pPr>
            <w:r w:rsidRPr="00F748CB">
              <w:rPr>
                <w:rFonts w:asciiTheme="minorHAnsi" w:eastAsiaTheme="minorHAnsi" w:hAnsiTheme="minorHAnsi" w:cstheme="minorBidi"/>
                <w:b/>
                <w:sz w:val="19"/>
                <w:szCs w:val="22"/>
                <w:lang w:val="en-AU" w:eastAsia="en-US" w:bidi="ar-SA"/>
              </w:rPr>
              <w:t>Voyages of less than 10 days</w:t>
            </w:r>
          </w:p>
        </w:tc>
        <w:tc>
          <w:tcPr>
            <w:tcW w:w="1248" w:type="pct"/>
            <w:tcBorders>
              <w:top w:val="single" w:sz="4" w:space="0" w:color="auto"/>
              <w:bottom w:val="single" w:sz="4" w:space="0" w:color="auto"/>
            </w:tcBorders>
          </w:tcPr>
          <w:p w:rsidR="000D35BF" w:rsidRPr="00F748CB" w:rsidP="00C64E4F">
            <w:pPr>
              <w:pStyle w:val="TableHeading"/>
              <w:keepNext/>
              <w:spacing w:before="60" w:after="60" w:line="240" w:lineRule="auto"/>
              <w:rPr>
                <w:rStyle w:val="DefaultParagraphFont"/>
                <w:rFonts w:asciiTheme="minorHAnsi" w:eastAsiaTheme="minorHAnsi" w:hAnsiTheme="minorHAnsi" w:cstheme="minorBidi"/>
                <w:b/>
                <w:sz w:val="19"/>
                <w:szCs w:val="22"/>
                <w:lang w:val="en-AU" w:eastAsia="en-US" w:bidi="ar-SA"/>
              </w:rPr>
            </w:pPr>
            <w:r w:rsidRPr="00F748CB">
              <w:rPr>
                <w:rFonts w:asciiTheme="minorHAnsi" w:eastAsiaTheme="minorHAnsi" w:hAnsiTheme="minorHAnsi" w:cstheme="minorBidi"/>
                <w:b/>
                <w:sz w:val="19"/>
                <w:szCs w:val="22"/>
                <w:lang w:val="en-AU" w:eastAsia="en-US" w:bidi="ar-SA"/>
              </w:rPr>
              <w:t>Voyages of 10 days or more</w:t>
            </w:r>
          </w:p>
        </w:tc>
      </w:tr>
      <w:tr w:rsidTr="00C64E4F">
        <w:tblPrEx>
          <w:tblW w:w="5000" w:type="pct"/>
          <w:tblInd w:w="0" w:type="dxa"/>
          <w:tblCellMar>
            <w:top w:w="0" w:type="dxa"/>
            <w:left w:w="108" w:type="dxa"/>
            <w:bottom w:w="0" w:type="dxa"/>
            <w:right w:w="108" w:type="dxa"/>
          </w:tblCellMar>
          <w:tblLook w:val="01E0"/>
        </w:tblPrEx>
        <w:trPr>
          <w:trHeight w:val="327"/>
        </w:trPr>
        <w:tc>
          <w:tcPr>
            <w:tcW w:w="1017" w:type="pct"/>
            <w:vMerge w:val="restart"/>
            <w:tcBorders>
              <w:top w:val="single" w:sz="4" w:space="0" w:color="auto"/>
            </w:tcBorders>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Times New Roman" w:asciiTheme="minorHAnsi" w:hAnsiTheme="minorHAnsi" w:cs="Arial"/>
                <w:color w:val="000000"/>
                <w:sz w:val="19"/>
                <w:szCs w:val="22"/>
                <w:lang w:val="en-GB" w:eastAsia="en-AU" w:bidi="ar-SA"/>
              </w:rPr>
              <w:t>Injectable antibiotics</w:t>
            </w:r>
          </w:p>
        </w:tc>
        <w:tc>
          <w:tcPr>
            <w:tcW w:w="1485" w:type="pct"/>
            <w:tcBorders>
              <w:top w:val="single" w:sz="4" w:space="0" w:color="auto"/>
              <w:bottom w:val="single" w:sz="4" w:space="0" w:color="auto"/>
            </w:tcBorders>
            <w:shd w:val="clear" w:color="auto" w:fill="auto"/>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Cambria" w:asciiTheme="minorHAnsi" w:hAnsiTheme="minorHAnsi" w:cs="Arial"/>
                <w:color w:val="000000"/>
                <w:sz w:val="19"/>
                <w:szCs w:val="22"/>
                <w:vertAlign w:val="superscript"/>
                <w:lang w:val="en-GB" w:eastAsia="en-AU" w:bidi="ar-SA"/>
              </w:rPr>
              <w:t>1</w:t>
            </w:r>
            <w:r w:rsidRPr="00D11DCF">
              <w:rPr>
                <w:rFonts w:eastAsia="Times New Roman" w:asciiTheme="minorHAnsi" w:hAnsiTheme="minorHAnsi" w:cs="Arial"/>
                <w:color w:val="000000"/>
                <w:sz w:val="19"/>
                <w:szCs w:val="22"/>
                <w:lang w:val="en-GB" w:eastAsia="en-AU" w:bidi="ar-SA"/>
              </w:rPr>
              <w:t>Penicillin (short acting)</w:t>
            </w:r>
          </w:p>
        </w:tc>
        <w:tc>
          <w:tcPr>
            <w:tcW w:w="1249" w:type="pct"/>
            <w:tcBorders>
              <w:top w:val="single" w:sz="4" w:space="0" w:color="auto"/>
              <w:bottom w:val="single" w:sz="4" w:space="0" w:color="auto"/>
            </w:tcBorders>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Times New Roman" w:asciiTheme="minorHAnsi" w:hAnsiTheme="minorHAnsi" w:cs="Arial"/>
                <w:color w:val="000000"/>
                <w:sz w:val="19"/>
                <w:szCs w:val="22"/>
                <w:lang w:val="en-GB" w:eastAsia="en-AU" w:bidi="ar-SA"/>
              </w:rPr>
              <w:t>15 buffalo doses</w:t>
            </w:r>
          </w:p>
        </w:tc>
        <w:tc>
          <w:tcPr>
            <w:tcW w:w="1248" w:type="pct"/>
            <w:tcBorders>
              <w:top w:val="single" w:sz="4" w:space="0" w:color="auto"/>
              <w:bottom w:val="single" w:sz="4" w:space="0" w:color="auto"/>
            </w:tcBorders>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Times New Roman" w:asciiTheme="minorHAnsi" w:hAnsiTheme="minorHAnsi" w:cs="Arial"/>
                <w:color w:val="000000"/>
                <w:sz w:val="19"/>
                <w:szCs w:val="22"/>
                <w:lang w:val="en-GB" w:eastAsia="en-AU" w:bidi="ar-SA"/>
              </w:rPr>
              <w:t>30 buffalo doses</w:t>
            </w:r>
          </w:p>
        </w:tc>
      </w:tr>
      <w:tr w:rsidTr="00C64E4F">
        <w:tblPrEx>
          <w:tblW w:w="5000" w:type="pct"/>
          <w:tblInd w:w="0" w:type="dxa"/>
          <w:tblCellMar>
            <w:top w:w="0" w:type="dxa"/>
            <w:left w:w="108" w:type="dxa"/>
            <w:bottom w:w="0" w:type="dxa"/>
            <w:right w:w="108" w:type="dxa"/>
          </w:tblCellMar>
          <w:tblLook w:val="01E0"/>
        </w:tblPrEx>
        <w:trPr>
          <w:trHeight w:val="327"/>
        </w:trPr>
        <w:tc>
          <w:tcPr>
            <w:tcW w:w="1017" w:type="pct"/>
            <w:vMerge/>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p>
        </w:tc>
        <w:tc>
          <w:tcPr>
            <w:tcW w:w="1485" w:type="pct"/>
            <w:tcBorders>
              <w:top w:val="single" w:sz="4" w:space="0" w:color="auto"/>
              <w:bottom w:val="single" w:sz="4" w:space="0" w:color="auto"/>
            </w:tcBorders>
            <w:shd w:val="clear" w:color="auto" w:fill="auto"/>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Cambria" w:asciiTheme="minorHAnsi" w:hAnsiTheme="minorHAnsi" w:cs="Arial"/>
                <w:color w:val="000000"/>
                <w:sz w:val="19"/>
                <w:szCs w:val="22"/>
                <w:vertAlign w:val="superscript"/>
                <w:lang w:val="en-GB" w:eastAsia="en-AU" w:bidi="ar-SA"/>
              </w:rPr>
              <w:t>1</w:t>
            </w:r>
            <w:r w:rsidRPr="00D11DCF">
              <w:rPr>
                <w:rFonts w:eastAsia="Times New Roman" w:asciiTheme="minorHAnsi" w:hAnsiTheme="minorHAnsi" w:cs="Arial"/>
                <w:color w:val="000000"/>
                <w:sz w:val="19"/>
                <w:szCs w:val="22"/>
                <w:lang w:val="en-GB" w:eastAsia="en-AU" w:bidi="ar-SA"/>
              </w:rPr>
              <w:t>Oxytetracycline (long acting) or equivalent</w:t>
            </w:r>
          </w:p>
        </w:tc>
        <w:tc>
          <w:tcPr>
            <w:tcW w:w="1249" w:type="pct"/>
            <w:tcBorders>
              <w:top w:val="single" w:sz="4" w:space="0" w:color="auto"/>
              <w:bottom w:val="single" w:sz="4" w:space="0" w:color="auto"/>
            </w:tcBorders>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Times New Roman" w:asciiTheme="minorHAnsi" w:hAnsiTheme="minorHAnsi" w:cs="Arial"/>
                <w:color w:val="000000"/>
                <w:sz w:val="19"/>
                <w:szCs w:val="22"/>
                <w:lang w:val="en-GB" w:eastAsia="en-AU" w:bidi="ar-SA"/>
              </w:rPr>
              <w:t>15 buffalo doses</w:t>
            </w:r>
          </w:p>
        </w:tc>
        <w:tc>
          <w:tcPr>
            <w:tcW w:w="1248" w:type="pct"/>
            <w:tcBorders>
              <w:top w:val="single" w:sz="4" w:space="0" w:color="auto"/>
              <w:bottom w:val="single" w:sz="4" w:space="0" w:color="auto"/>
            </w:tcBorders>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Times New Roman" w:asciiTheme="minorHAnsi" w:hAnsiTheme="minorHAnsi" w:cs="Arial"/>
                <w:color w:val="000000"/>
                <w:sz w:val="19"/>
                <w:szCs w:val="22"/>
                <w:lang w:val="en-GB" w:eastAsia="en-AU" w:bidi="ar-SA"/>
              </w:rPr>
              <w:t>30 buffalo doses</w:t>
            </w:r>
          </w:p>
        </w:tc>
      </w:tr>
      <w:tr w:rsidTr="00C64E4F">
        <w:tblPrEx>
          <w:tblW w:w="5000" w:type="pct"/>
          <w:tblInd w:w="0" w:type="dxa"/>
          <w:tblCellMar>
            <w:top w:w="0" w:type="dxa"/>
            <w:left w:w="108" w:type="dxa"/>
            <w:bottom w:w="0" w:type="dxa"/>
            <w:right w:w="108" w:type="dxa"/>
          </w:tblCellMar>
          <w:tblLook w:val="01E0"/>
        </w:tblPrEx>
        <w:trPr>
          <w:trHeight w:val="327"/>
        </w:trPr>
        <w:tc>
          <w:tcPr>
            <w:tcW w:w="1017" w:type="pct"/>
            <w:vMerge/>
            <w:tcBorders>
              <w:bottom w:val="single" w:sz="4" w:space="0" w:color="auto"/>
            </w:tcBorders>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p>
        </w:tc>
        <w:tc>
          <w:tcPr>
            <w:tcW w:w="1485" w:type="pct"/>
            <w:tcBorders>
              <w:top w:val="single" w:sz="4" w:space="0" w:color="auto"/>
              <w:bottom w:val="single" w:sz="4" w:space="0" w:color="auto"/>
            </w:tcBorders>
            <w:shd w:val="clear" w:color="auto" w:fill="auto"/>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Cambria" w:asciiTheme="minorHAnsi" w:hAnsiTheme="minorHAnsi" w:cs="Arial"/>
                <w:color w:val="000000"/>
                <w:sz w:val="19"/>
                <w:szCs w:val="22"/>
                <w:vertAlign w:val="superscript"/>
                <w:lang w:val="en-GB" w:eastAsia="en-AU" w:bidi="ar-SA"/>
              </w:rPr>
              <w:t>1</w:t>
            </w:r>
            <w:r w:rsidRPr="00D11DCF">
              <w:rPr>
                <w:rFonts w:eastAsia="Times New Roman" w:asciiTheme="minorHAnsi" w:hAnsiTheme="minorHAnsi" w:cs="Arial"/>
                <w:color w:val="000000"/>
                <w:sz w:val="19"/>
                <w:szCs w:val="22"/>
                <w:lang w:val="en-GB" w:eastAsia="en-AU" w:bidi="ar-SA"/>
              </w:rPr>
              <w:t>Antibiotic(s) appropriate for the treatment of bovine respiratory disease (may include Florfenicol, Tilmicosin, Tulathromycin, Tylosin)</w:t>
            </w:r>
          </w:p>
        </w:tc>
        <w:tc>
          <w:tcPr>
            <w:tcW w:w="1249" w:type="pct"/>
            <w:tcBorders>
              <w:bottom w:val="single" w:sz="4" w:space="0" w:color="auto"/>
            </w:tcBorders>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Times New Roman" w:asciiTheme="minorHAnsi" w:hAnsiTheme="minorHAnsi" w:cs="Arial"/>
                <w:color w:val="000000"/>
                <w:sz w:val="19"/>
                <w:szCs w:val="22"/>
                <w:lang w:val="en-GB" w:eastAsia="en-AU" w:bidi="ar-SA"/>
              </w:rPr>
              <w:t>15 buffalo doses</w:t>
            </w:r>
          </w:p>
        </w:tc>
        <w:tc>
          <w:tcPr>
            <w:tcW w:w="1248" w:type="pct"/>
            <w:tcBorders>
              <w:bottom w:val="single" w:sz="4" w:space="0" w:color="auto"/>
            </w:tcBorders>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Times New Roman" w:asciiTheme="minorHAnsi" w:hAnsiTheme="minorHAnsi" w:cs="Arial"/>
                <w:color w:val="000000"/>
                <w:sz w:val="19"/>
                <w:szCs w:val="22"/>
                <w:lang w:val="en-GB" w:eastAsia="en-AU" w:bidi="ar-SA"/>
              </w:rPr>
              <w:t>30 buffalo doses</w:t>
            </w:r>
          </w:p>
        </w:tc>
      </w:tr>
      <w:tr w:rsidTr="00C64E4F">
        <w:tblPrEx>
          <w:tblW w:w="5000" w:type="pct"/>
          <w:tblInd w:w="0" w:type="dxa"/>
          <w:tblCellMar>
            <w:top w:w="0" w:type="dxa"/>
            <w:left w:w="108" w:type="dxa"/>
            <w:bottom w:w="0" w:type="dxa"/>
            <w:right w:w="108" w:type="dxa"/>
          </w:tblCellMar>
          <w:tblLook w:val="01E0"/>
        </w:tblPrEx>
        <w:trPr>
          <w:trHeight w:val="327"/>
        </w:trPr>
        <w:tc>
          <w:tcPr>
            <w:tcW w:w="1017" w:type="pct"/>
            <w:vMerge w:val="restart"/>
            <w:tcBorders>
              <w:top w:val="single" w:sz="4" w:space="0" w:color="auto"/>
            </w:tcBorders>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Times New Roman" w:asciiTheme="minorHAnsi" w:hAnsiTheme="minorHAnsi" w:cs="Arial"/>
                <w:color w:val="000000"/>
                <w:sz w:val="19"/>
                <w:szCs w:val="22"/>
                <w:lang w:val="en-GB" w:eastAsia="en-AU" w:bidi="ar-SA"/>
              </w:rPr>
              <w:t>Anti-inflammatory medicines</w:t>
            </w:r>
          </w:p>
        </w:tc>
        <w:tc>
          <w:tcPr>
            <w:tcW w:w="1485" w:type="pct"/>
            <w:tcBorders>
              <w:top w:val="single" w:sz="4" w:space="0" w:color="auto"/>
              <w:bottom w:val="single" w:sz="4" w:space="0" w:color="auto"/>
            </w:tcBorders>
            <w:shd w:val="clear" w:color="auto" w:fill="auto"/>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07551C">
              <w:rPr>
                <w:rFonts w:eastAsia="Times New Roman" w:asciiTheme="minorHAnsi" w:hAnsiTheme="minorHAnsi" w:cs="Arial"/>
                <w:color w:val="000000"/>
                <w:sz w:val="19"/>
                <w:szCs w:val="22"/>
                <w:lang w:val="en-GB" w:eastAsia="en-AU" w:bidi="ar-SA"/>
              </w:rPr>
              <w:t>Dexamethasone</w:t>
            </w:r>
          </w:p>
        </w:tc>
        <w:tc>
          <w:tcPr>
            <w:tcW w:w="1249" w:type="pct"/>
            <w:tcBorders>
              <w:top w:val="single" w:sz="4" w:space="0" w:color="auto"/>
              <w:bottom w:val="single" w:sz="4" w:space="0" w:color="auto"/>
            </w:tcBorders>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Times New Roman" w:asciiTheme="minorHAnsi" w:hAnsiTheme="minorHAnsi" w:cs="Arial"/>
                <w:color w:val="000000"/>
                <w:sz w:val="19"/>
                <w:szCs w:val="22"/>
                <w:lang w:val="en-GB" w:eastAsia="en-AU" w:bidi="ar-SA"/>
              </w:rPr>
              <w:t>15 buffalo doses</w:t>
            </w:r>
          </w:p>
        </w:tc>
        <w:tc>
          <w:tcPr>
            <w:tcW w:w="1248" w:type="pct"/>
            <w:tcBorders>
              <w:top w:val="single" w:sz="4" w:space="0" w:color="auto"/>
              <w:bottom w:val="single" w:sz="4" w:space="0" w:color="auto"/>
            </w:tcBorders>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Times New Roman" w:asciiTheme="minorHAnsi" w:hAnsiTheme="minorHAnsi" w:cs="Arial"/>
                <w:color w:val="000000"/>
                <w:sz w:val="19"/>
                <w:szCs w:val="22"/>
                <w:lang w:val="en-GB" w:eastAsia="en-AU" w:bidi="ar-SA"/>
              </w:rPr>
              <w:t>30 buffalo doses</w:t>
            </w:r>
          </w:p>
        </w:tc>
      </w:tr>
      <w:tr w:rsidTr="00C64E4F">
        <w:tblPrEx>
          <w:tblW w:w="5000" w:type="pct"/>
          <w:tblInd w:w="0" w:type="dxa"/>
          <w:tblCellMar>
            <w:top w:w="0" w:type="dxa"/>
            <w:left w:w="108" w:type="dxa"/>
            <w:bottom w:w="0" w:type="dxa"/>
            <w:right w:w="108" w:type="dxa"/>
          </w:tblCellMar>
          <w:tblLook w:val="01E0"/>
        </w:tblPrEx>
        <w:trPr>
          <w:trHeight w:val="327"/>
        </w:trPr>
        <w:tc>
          <w:tcPr>
            <w:tcW w:w="1017" w:type="pct"/>
            <w:vMerge/>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p>
        </w:tc>
        <w:tc>
          <w:tcPr>
            <w:tcW w:w="1485" w:type="pct"/>
            <w:tcBorders>
              <w:top w:val="single" w:sz="4" w:space="0" w:color="auto"/>
              <w:bottom w:val="single" w:sz="4" w:space="0" w:color="auto"/>
            </w:tcBorders>
            <w:shd w:val="clear" w:color="auto" w:fill="auto"/>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Times New Roman" w:asciiTheme="minorHAnsi" w:hAnsiTheme="minorHAnsi" w:cs="Arial"/>
                <w:color w:val="000000"/>
                <w:sz w:val="19"/>
                <w:szCs w:val="22"/>
                <w:lang w:val="en-GB" w:eastAsia="en-AU" w:bidi="ar-SA"/>
              </w:rPr>
              <w:t>Flunixin or equivalent</w:t>
            </w:r>
          </w:p>
        </w:tc>
        <w:tc>
          <w:tcPr>
            <w:tcW w:w="1249" w:type="pct"/>
            <w:tcBorders>
              <w:top w:val="single" w:sz="4" w:space="0" w:color="auto"/>
              <w:bottom w:val="single" w:sz="4" w:space="0" w:color="auto"/>
            </w:tcBorders>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Times New Roman" w:asciiTheme="minorHAnsi" w:hAnsiTheme="minorHAnsi" w:cs="Arial"/>
                <w:color w:val="000000"/>
                <w:sz w:val="19"/>
                <w:szCs w:val="22"/>
                <w:lang w:val="en-GB" w:eastAsia="en-AU" w:bidi="ar-SA"/>
              </w:rPr>
              <w:t>15 buffalo doses</w:t>
            </w:r>
          </w:p>
        </w:tc>
        <w:tc>
          <w:tcPr>
            <w:tcW w:w="1248" w:type="pct"/>
            <w:tcBorders>
              <w:top w:val="single" w:sz="4" w:space="0" w:color="auto"/>
              <w:bottom w:val="single" w:sz="4" w:space="0" w:color="auto"/>
            </w:tcBorders>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Times New Roman" w:asciiTheme="minorHAnsi" w:hAnsiTheme="minorHAnsi" w:cs="Arial"/>
                <w:color w:val="000000"/>
                <w:sz w:val="19"/>
                <w:szCs w:val="22"/>
                <w:lang w:val="en-GB" w:eastAsia="en-AU" w:bidi="ar-SA"/>
              </w:rPr>
              <w:t>30 buffalo doses</w:t>
            </w:r>
          </w:p>
        </w:tc>
      </w:tr>
      <w:tr w:rsidTr="00C64E4F">
        <w:tblPrEx>
          <w:tblW w:w="5000" w:type="pct"/>
          <w:tblInd w:w="0" w:type="dxa"/>
          <w:tblCellMar>
            <w:top w:w="0" w:type="dxa"/>
            <w:left w:w="108" w:type="dxa"/>
            <w:bottom w:w="0" w:type="dxa"/>
            <w:right w:w="108" w:type="dxa"/>
          </w:tblCellMar>
          <w:tblLook w:val="01E0"/>
        </w:tblPrEx>
        <w:trPr>
          <w:trHeight w:val="327"/>
        </w:trPr>
        <w:tc>
          <w:tcPr>
            <w:tcW w:w="1017" w:type="pct"/>
            <w:vMerge/>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p>
        </w:tc>
        <w:tc>
          <w:tcPr>
            <w:tcW w:w="1485" w:type="pct"/>
            <w:tcBorders>
              <w:top w:val="single" w:sz="4" w:space="0" w:color="auto"/>
              <w:bottom w:val="single" w:sz="4" w:space="0" w:color="auto"/>
            </w:tcBorders>
            <w:shd w:val="clear" w:color="auto" w:fill="auto"/>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Times New Roman" w:asciiTheme="minorHAnsi" w:hAnsiTheme="minorHAnsi" w:cs="Arial"/>
                <w:color w:val="000000"/>
                <w:sz w:val="19"/>
                <w:szCs w:val="22"/>
                <w:lang w:val="en-GB" w:eastAsia="en-AU" w:bidi="ar-SA"/>
              </w:rPr>
              <w:t>Topical wound treatment</w:t>
            </w:r>
          </w:p>
        </w:tc>
        <w:tc>
          <w:tcPr>
            <w:tcW w:w="1249" w:type="pct"/>
            <w:tcBorders>
              <w:top w:val="single" w:sz="4" w:space="0" w:color="auto"/>
              <w:bottom w:val="single" w:sz="4" w:space="0" w:color="auto"/>
            </w:tcBorders>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Times New Roman" w:asciiTheme="minorHAnsi" w:hAnsiTheme="minorHAnsi" w:cs="Arial"/>
                <w:color w:val="000000"/>
                <w:sz w:val="19"/>
                <w:szCs w:val="22"/>
                <w:lang w:val="en-GB" w:eastAsia="en-AU" w:bidi="ar-SA"/>
              </w:rPr>
              <w:t>Sufficient to treat 10 minor wounds</w:t>
            </w:r>
          </w:p>
        </w:tc>
        <w:tc>
          <w:tcPr>
            <w:tcW w:w="1248" w:type="pct"/>
            <w:tcBorders>
              <w:top w:val="single" w:sz="4" w:space="0" w:color="auto"/>
              <w:bottom w:val="single" w:sz="4" w:space="0" w:color="auto"/>
            </w:tcBorders>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Times New Roman" w:asciiTheme="minorHAnsi" w:hAnsiTheme="minorHAnsi" w:cs="Arial"/>
                <w:color w:val="000000"/>
                <w:sz w:val="19"/>
                <w:szCs w:val="22"/>
                <w:lang w:val="en-GB" w:eastAsia="en-AU" w:bidi="ar-SA"/>
              </w:rPr>
              <w:t>Sufficient to treat 20 minor wounds</w:t>
            </w:r>
          </w:p>
        </w:tc>
      </w:tr>
      <w:tr w:rsidTr="00C64E4F">
        <w:tblPrEx>
          <w:tblW w:w="5000" w:type="pct"/>
          <w:tblInd w:w="0" w:type="dxa"/>
          <w:tblCellMar>
            <w:top w:w="0" w:type="dxa"/>
            <w:left w:w="108" w:type="dxa"/>
            <w:bottom w:w="0" w:type="dxa"/>
            <w:right w:w="108" w:type="dxa"/>
          </w:tblCellMar>
          <w:tblLook w:val="01E0"/>
        </w:tblPrEx>
        <w:trPr>
          <w:trHeight w:val="327"/>
        </w:trPr>
        <w:tc>
          <w:tcPr>
            <w:tcW w:w="1017" w:type="pct"/>
            <w:vMerge/>
            <w:tcBorders>
              <w:bottom w:val="single" w:sz="4" w:space="0" w:color="auto"/>
            </w:tcBorders>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p>
        </w:tc>
        <w:tc>
          <w:tcPr>
            <w:tcW w:w="1485" w:type="pct"/>
            <w:tcBorders>
              <w:top w:val="single" w:sz="4" w:space="0" w:color="auto"/>
              <w:bottom w:val="single" w:sz="4" w:space="0" w:color="auto"/>
            </w:tcBorders>
            <w:shd w:val="clear" w:color="auto" w:fill="auto"/>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Times New Roman" w:asciiTheme="minorHAnsi" w:hAnsiTheme="minorHAnsi" w:cs="Arial"/>
                <w:color w:val="000000"/>
                <w:sz w:val="19"/>
                <w:szCs w:val="22"/>
                <w:lang w:val="en-GB" w:eastAsia="en-AU" w:bidi="ar-SA"/>
              </w:rPr>
              <w:t>Pink eye treatment</w:t>
            </w:r>
          </w:p>
        </w:tc>
        <w:tc>
          <w:tcPr>
            <w:tcW w:w="1249" w:type="pct"/>
            <w:tcBorders>
              <w:top w:val="single" w:sz="4" w:space="0" w:color="auto"/>
              <w:bottom w:val="single" w:sz="4" w:space="0" w:color="auto"/>
            </w:tcBorders>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Times New Roman" w:asciiTheme="minorHAnsi" w:hAnsiTheme="minorHAnsi" w:cs="Arial"/>
                <w:color w:val="000000"/>
                <w:sz w:val="19"/>
                <w:szCs w:val="22"/>
                <w:lang w:val="en-GB" w:eastAsia="en-AU" w:bidi="ar-SA"/>
              </w:rPr>
              <w:t>10 tubes</w:t>
            </w:r>
          </w:p>
        </w:tc>
        <w:tc>
          <w:tcPr>
            <w:tcW w:w="1248" w:type="pct"/>
            <w:tcBorders>
              <w:top w:val="single" w:sz="4" w:space="0" w:color="auto"/>
              <w:bottom w:val="single" w:sz="4" w:space="0" w:color="auto"/>
            </w:tcBorders>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Times New Roman" w:asciiTheme="minorHAnsi" w:hAnsiTheme="minorHAnsi" w:cs="Arial"/>
                <w:color w:val="000000"/>
                <w:sz w:val="19"/>
                <w:szCs w:val="22"/>
                <w:lang w:val="en-GB" w:eastAsia="en-AU" w:bidi="ar-SA"/>
              </w:rPr>
              <w:t>1 box of 20 tubes</w:t>
            </w:r>
          </w:p>
        </w:tc>
      </w:tr>
      <w:tr w:rsidTr="00C64E4F">
        <w:tblPrEx>
          <w:tblW w:w="5000" w:type="pct"/>
          <w:tblInd w:w="0" w:type="dxa"/>
          <w:tblCellMar>
            <w:top w:w="0" w:type="dxa"/>
            <w:left w:w="108" w:type="dxa"/>
            <w:bottom w:w="0" w:type="dxa"/>
            <w:right w:w="108" w:type="dxa"/>
          </w:tblCellMar>
          <w:tblLook w:val="01E0"/>
        </w:tblPrEx>
        <w:trPr>
          <w:trHeight w:val="327"/>
        </w:trPr>
        <w:tc>
          <w:tcPr>
            <w:tcW w:w="1017" w:type="pct"/>
            <w:tcBorders>
              <w:top w:val="single" w:sz="4" w:space="0" w:color="auto"/>
              <w:bottom w:val="single" w:sz="4" w:space="0" w:color="auto"/>
            </w:tcBorders>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Times New Roman" w:asciiTheme="minorHAnsi" w:hAnsiTheme="minorHAnsi" w:cs="Arial"/>
                <w:color w:val="000000"/>
                <w:sz w:val="19"/>
                <w:szCs w:val="22"/>
                <w:lang w:val="en-GB" w:eastAsia="en-AU" w:bidi="ar-SA"/>
              </w:rPr>
              <w:t>Sedative</w:t>
            </w:r>
          </w:p>
        </w:tc>
        <w:tc>
          <w:tcPr>
            <w:tcW w:w="1485" w:type="pct"/>
            <w:tcBorders>
              <w:top w:val="single" w:sz="4" w:space="0" w:color="auto"/>
              <w:bottom w:val="single" w:sz="4" w:space="0" w:color="auto"/>
            </w:tcBorders>
            <w:shd w:val="clear" w:color="auto" w:fill="auto"/>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Times New Roman" w:asciiTheme="minorHAnsi" w:hAnsiTheme="minorHAnsi" w:cs="Arial"/>
                <w:color w:val="000000"/>
                <w:sz w:val="19"/>
                <w:szCs w:val="22"/>
                <w:lang w:val="en-GB" w:eastAsia="en-AU" w:bidi="ar-SA"/>
              </w:rPr>
              <w:t>Xylazine</w:t>
            </w:r>
          </w:p>
        </w:tc>
        <w:tc>
          <w:tcPr>
            <w:tcW w:w="1249" w:type="pct"/>
            <w:tcBorders>
              <w:top w:val="single" w:sz="4" w:space="0" w:color="auto"/>
              <w:bottom w:val="single" w:sz="4" w:space="0" w:color="auto"/>
            </w:tcBorders>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Times New Roman" w:asciiTheme="minorHAnsi" w:hAnsiTheme="minorHAnsi" w:cs="Arial"/>
                <w:color w:val="000000"/>
                <w:sz w:val="19"/>
                <w:szCs w:val="22"/>
                <w:lang w:val="en-GB" w:eastAsia="en-AU" w:bidi="ar-SA"/>
              </w:rPr>
              <w:t>5 buffalo doses</w:t>
            </w:r>
          </w:p>
        </w:tc>
        <w:tc>
          <w:tcPr>
            <w:tcW w:w="1248" w:type="pct"/>
            <w:tcBorders>
              <w:top w:val="single" w:sz="4" w:space="0" w:color="auto"/>
              <w:bottom w:val="single" w:sz="4" w:space="0" w:color="auto"/>
            </w:tcBorders>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Times New Roman" w:asciiTheme="minorHAnsi" w:hAnsiTheme="minorHAnsi" w:cs="Arial"/>
                <w:color w:val="000000"/>
                <w:sz w:val="19"/>
                <w:szCs w:val="22"/>
                <w:lang w:val="en-GB" w:eastAsia="en-AU" w:bidi="ar-SA"/>
              </w:rPr>
              <w:t>10 buffalo doses</w:t>
            </w:r>
          </w:p>
        </w:tc>
      </w:tr>
      <w:tr w:rsidTr="00C64E4F">
        <w:tblPrEx>
          <w:tblW w:w="5000" w:type="pct"/>
          <w:tblInd w:w="0" w:type="dxa"/>
          <w:tblCellMar>
            <w:top w:w="0" w:type="dxa"/>
            <w:left w:w="108" w:type="dxa"/>
            <w:bottom w:w="0" w:type="dxa"/>
            <w:right w:w="108" w:type="dxa"/>
          </w:tblCellMar>
          <w:tblLook w:val="01E0"/>
        </w:tblPrEx>
        <w:trPr>
          <w:trHeight w:val="327"/>
        </w:trPr>
        <w:tc>
          <w:tcPr>
            <w:tcW w:w="1017" w:type="pct"/>
            <w:vMerge w:val="restart"/>
            <w:tcBorders>
              <w:top w:val="single" w:sz="4" w:space="0" w:color="auto"/>
            </w:tcBorders>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Times New Roman" w:asciiTheme="minorHAnsi" w:hAnsiTheme="minorHAnsi" w:cs="Arial"/>
                <w:color w:val="000000"/>
                <w:sz w:val="19"/>
                <w:szCs w:val="22"/>
                <w:lang w:val="en-GB" w:eastAsia="en-AU" w:bidi="ar-SA"/>
              </w:rPr>
              <w:t>Other equipment</w:t>
            </w:r>
          </w:p>
        </w:tc>
        <w:tc>
          <w:tcPr>
            <w:tcW w:w="1485" w:type="pct"/>
            <w:tcBorders>
              <w:top w:val="single" w:sz="4" w:space="0" w:color="auto"/>
              <w:bottom w:val="single" w:sz="4" w:space="0" w:color="auto"/>
            </w:tcBorders>
            <w:shd w:val="clear" w:color="auto" w:fill="auto"/>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Times New Roman" w:asciiTheme="minorHAnsi" w:hAnsiTheme="minorHAnsi" w:cs="Arial"/>
                <w:color w:val="000000"/>
                <w:sz w:val="19"/>
                <w:szCs w:val="22"/>
                <w:lang w:val="en-GB" w:eastAsia="en-AU" w:bidi="ar-SA"/>
              </w:rPr>
              <w:t>Thermometers</w:t>
            </w:r>
          </w:p>
        </w:tc>
        <w:tc>
          <w:tcPr>
            <w:tcW w:w="1249" w:type="pct"/>
            <w:tcBorders>
              <w:top w:val="single" w:sz="4" w:space="0" w:color="auto"/>
              <w:bottom w:val="single" w:sz="4" w:space="0" w:color="auto"/>
            </w:tcBorders>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Times New Roman" w:asciiTheme="minorHAnsi" w:hAnsiTheme="minorHAnsi" w:cs="Arial"/>
                <w:color w:val="000000"/>
                <w:sz w:val="19"/>
                <w:szCs w:val="22"/>
                <w:lang w:val="en-GB" w:eastAsia="en-AU" w:bidi="ar-SA"/>
              </w:rPr>
              <w:t>3 per vessel</w:t>
            </w:r>
          </w:p>
        </w:tc>
        <w:tc>
          <w:tcPr>
            <w:tcW w:w="1248" w:type="pct"/>
            <w:tcBorders>
              <w:top w:val="single" w:sz="4" w:space="0" w:color="auto"/>
              <w:bottom w:val="single" w:sz="4" w:space="0" w:color="auto"/>
            </w:tcBorders>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Times New Roman" w:asciiTheme="minorHAnsi" w:hAnsiTheme="minorHAnsi" w:cs="Arial"/>
                <w:color w:val="000000"/>
                <w:sz w:val="19"/>
                <w:szCs w:val="22"/>
                <w:lang w:val="en-GB" w:eastAsia="en-AU" w:bidi="ar-SA"/>
              </w:rPr>
              <w:t>3 per vessel</w:t>
            </w:r>
          </w:p>
        </w:tc>
      </w:tr>
      <w:tr w:rsidTr="00C64E4F">
        <w:tblPrEx>
          <w:tblW w:w="5000" w:type="pct"/>
          <w:tblInd w:w="0" w:type="dxa"/>
          <w:tblCellMar>
            <w:top w:w="0" w:type="dxa"/>
            <w:left w:w="108" w:type="dxa"/>
            <w:bottom w:w="0" w:type="dxa"/>
            <w:right w:w="108" w:type="dxa"/>
          </w:tblCellMar>
          <w:tblLook w:val="01E0"/>
        </w:tblPrEx>
        <w:trPr>
          <w:trHeight w:val="327"/>
        </w:trPr>
        <w:tc>
          <w:tcPr>
            <w:tcW w:w="1017" w:type="pct"/>
            <w:vMerge/>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p>
        </w:tc>
        <w:tc>
          <w:tcPr>
            <w:tcW w:w="1485" w:type="pct"/>
            <w:tcBorders>
              <w:top w:val="single" w:sz="4" w:space="0" w:color="auto"/>
              <w:bottom w:val="single" w:sz="4" w:space="0" w:color="auto"/>
            </w:tcBorders>
            <w:shd w:val="clear" w:color="auto" w:fill="auto"/>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Times New Roman" w:asciiTheme="minorHAnsi" w:hAnsiTheme="minorHAnsi" w:cs="Arial"/>
                <w:color w:val="000000"/>
                <w:sz w:val="19"/>
                <w:szCs w:val="22"/>
                <w:lang w:val="en-GB" w:eastAsia="en-AU" w:bidi="ar-SA"/>
              </w:rPr>
              <w:t>Needles (18 gauge, 1 ½ inch) or equivalent</w:t>
            </w:r>
          </w:p>
        </w:tc>
        <w:tc>
          <w:tcPr>
            <w:tcW w:w="1249" w:type="pct"/>
            <w:tcBorders>
              <w:top w:val="single" w:sz="4" w:space="0" w:color="auto"/>
              <w:bottom w:val="single" w:sz="4" w:space="0" w:color="auto"/>
            </w:tcBorders>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Times New Roman" w:asciiTheme="minorHAnsi" w:hAnsiTheme="minorHAnsi" w:cs="Arial"/>
                <w:color w:val="000000"/>
                <w:sz w:val="19"/>
                <w:szCs w:val="22"/>
                <w:lang w:val="en-GB" w:eastAsia="en-AU" w:bidi="ar-SA"/>
              </w:rPr>
              <w:t>1 box of 100</w:t>
            </w:r>
          </w:p>
        </w:tc>
        <w:tc>
          <w:tcPr>
            <w:tcW w:w="1248" w:type="pct"/>
            <w:tcBorders>
              <w:top w:val="single" w:sz="4" w:space="0" w:color="auto"/>
              <w:bottom w:val="single" w:sz="4" w:space="0" w:color="auto"/>
            </w:tcBorders>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Times New Roman" w:asciiTheme="minorHAnsi" w:hAnsiTheme="minorHAnsi" w:cs="Arial"/>
                <w:color w:val="000000"/>
                <w:sz w:val="19"/>
                <w:szCs w:val="22"/>
                <w:lang w:val="en-GB" w:eastAsia="en-AU" w:bidi="ar-SA"/>
              </w:rPr>
              <w:t>1 box of 100</w:t>
            </w:r>
          </w:p>
        </w:tc>
      </w:tr>
      <w:tr w:rsidTr="00C64E4F">
        <w:tblPrEx>
          <w:tblW w:w="5000" w:type="pct"/>
          <w:tblInd w:w="0" w:type="dxa"/>
          <w:tblCellMar>
            <w:top w:w="0" w:type="dxa"/>
            <w:left w:w="108" w:type="dxa"/>
            <w:bottom w:w="0" w:type="dxa"/>
            <w:right w:w="108" w:type="dxa"/>
          </w:tblCellMar>
          <w:tblLook w:val="01E0"/>
        </w:tblPrEx>
        <w:trPr>
          <w:trHeight w:val="327"/>
        </w:trPr>
        <w:tc>
          <w:tcPr>
            <w:tcW w:w="1017" w:type="pct"/>
            <w:vMerge/>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p>
        </w:tc>
        <w:tc>
          <w:tcPr>
            <w:tcW w:w="1485" w:type="pct"/>
            <w:tcBorders>
              <w:top w:val="single" w:sz="4" w:space="0" w:color="auto"/>
              <w:bottom w:val="single" w:sz="4" w:space="0" w:color="auto"/>
            </w:tcBorders>
            <w:shd w:val="clear" w:color="auto" w:fill="auto"/>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Times New Roman" w:asciiTheme="minorHAnsi" w:hAnsiTheme="minorHAnsi" w:cs="Arial"/>
                <w:color w:val="000000"/>
                <w:sz w:val="19"/>
                <w:szCs w:val="22"/>
                <w:lang w:val="en-GB" w:eastAsia="en-AU" w:bidi="ar-SA"/>
              </w:rPr>
              <w:t>Hypodermic syringes</w:t>
            </w:r>
          </w:p>
        </w:tc>
        <w:tc>
          <w:tcPr>
            <w:tcW w:w="1249" w:type="pct"/>
            <w:tcBorders>
              <w:top w:val="single" w:sz="4" w:space="0" w:color="auto"/>
            </w:tcBorders>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Times New Roman" w:asciiTheme="minorHAnsi" w:hAnsiTheme="minorHAnsi" w:cs="Arial"/>
                <w:color w:val="000000"/>
                <w:sz w:val="19"/>
                <w:szCs w:val="22"/>
                <w:lang w:val="en-GB" w:eastAsia="en-AU" w:bidi="ar-SA"/>
              </w:rPr>
              <w:t>40 x 20mL, 10 x 5mL</w:t>
            </w:r>
          </w:p>
        </w:tc>
        <w:tc>
          <w:tcPr>
            <w:tcW w:w="1248" w:type="pct"/>
            <w:tcBorders>
              <w:top w:val="single" w:sz="4" w:space="0" w:color="auto"/>
            </w:tcBorders>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Times New Roman" w:asciiTheme="minorHAnsi" w:hAnsiTheme="minorHAnsi" w:cs="Arial"/>
                <w:color w:val="000000"/>
                <w:sz w:val="19"/>
                <w:szCs w:val="22"/>
                <w:lang w:val="en-GB" w:eastAsia="en-AU" w:bidi="ar-SA"/>
              </w:rPr>
              <w:t>40 x 20mL, 10 x 5mL</w:t>
            </w:r>
          </w:p>
        </w:tc>
      </w:tr>
      <w:tr w:rsidTr="00C64E4F">
        <w:tblPrEx>
          <w:tblW w:w="5000" w:type="pct"/>
          <w:tblInd w:w="0" w:type="dxa"/>
          <w:tblCellMar>
            <w:top w:w="0" w:type="dxa"/>
            <w:left w:w="108" w:type="dxa"/>
            <w:bottom w:w="0" w:type="dxa"/>
            <w:right w:w="108" w:type="dxa"/>
          </w:tblCellMar>
          <w:tblLook w:val="01E0"/>
        </w:tblPrEx>
        <w:trPr>
          <w:trHeight w:val="327"/>
        </w:trPr>
        <w:tc>
          <w:tcPr>
            <w:tcW w:w="1017" w:type="pct"/>
            <w:vMerge/>
          </w:tcPr>
          <w:p w:rsidR="000D35BF" w:rsidRPr="00A7774C" w:rsidP="00C64E4F">
            <w:pPr>
              <w:pStyle w:val="TableText"/>
              <w:spacing w:before="60" w:after="60"/>
              <w:rPr>
                <w:rStyle w:val="DefaultParagraphFont"/>
                <w:rFonts w:eastAsia="Times New Roman" w:asciiTheme="majorHAnsi" w:hAnsiTheme="majorHAnsi" w:cs="Arial"/>
                <w:color w:val="000000"/>
                <w:sz w:val="19"/>
                <w:szCs w:val="18"/>
                <w:lang w:val="en-GB" w:eastAsia="ja-JP" w:bidi="ar-SA"/>
              </w:rPr>
            </w:pPr>
          </w:p>
        </w:tc>
        <w:tc>
          <w:tcPr>
            <w:tcW w:w="1485" w:type="pct"/>
            <w:vMerge w:val="restart"/>
            <w:tcBorders>
              <w:top w:val="single" w:sz="4" w:space="0" w:color="auto"/>
            </w:tcBorders>
            <w:shd w:val="clear" w:color="auto" w:fill="auto"/>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Times New Roman" w:asciiTheme="minorHAnsi" w:hAnsiTheme="minorHAnsi" w:cs="Arial"/>
                <w:color w:val="000000"/>
                <w:sz w:val="19"/>
                <w:szCs w:val="22"/>
                <w:lang w:val="en-GB" w:eastAsia="en-AU" w:bidi="ar-SA"/>
              </w:rPr>
              <w:t>Restraint equipment</w:t>
            </w:r>
          </w:p>
        </w:tc>
        <w:tc>
          <w:tcPr>
            <w:tcW w:w="1249" w:type="pct"/>
            <w:tcBorders>
              <w:top w:val="single" w:sz="4" w:space="0" w:color="auto"/>
              <w:bottom w:val="single" w:sz="4" w:space="0" w:color="auto"/>
            </w:tcBorders>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Times New Roman" w:asciiTheme="minorHAnsi" w:hAnsiTheme="minorHAnsi" w:cs="Arial"/>
                <w:color w:val="000000"/>
                <w:sz w:val="19"/>
                <w:szCs w:val="22"/>
                <w:lang w:val="en-GB" w:eastAsia="en-AU" w:bidi="ar-SA"/>
              </w:rPr>
              <w:t xml:space="preserve">Adjustable head bale </w:t>
            </w:r>
            <w:r w:rsidRPr="00D11DCF">
              <w:rPr>
                <w:rFonts w:eastAsia="Times New Roman" w:asciiTheme="minorHAnsi" w:hAnsiTheme="minorHAnsi" w:cs="Arial"/>
                <w:color w:val="000000"/>
                <w:sz w:val="19"/>
                <w:szCs w:val="22"/>
                <w:lang w:val="en-GB" w:eastAsia="en-AU" w:bidi="ar-SA"/>
              </w:rPr>
              <w:t>(1 per vessel) should be included</w:t>
            </w:r>
          </w:p>
        </w:tc>
        <w:tc>
          <w:tcPr>
            <w:tcW w:w="1248" w:type="pct"/>
            <w:tcBorders>
              <w:top w:val="single" w:sz="4" w:space="0" w:color="auto"/>
              <w:bottom w:val="single" w:sz="4" w:space="0" w:color="auto"/>
            </w:tcBorders>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Times New Roman" w:asciiTheme="minorHAnsi" w:hAnsiTheme="minorHAnsi" w:cs="Arial"/>
                <w:color w:val="000000"/>
                <w:sz w:val="19"/>
                <w:szCs w:val="22"/>
                <w:lang w:val="en-GB" w:eastAsia="en-AU" w:bidi="ar-SA"/>
              </w:rPr>
              <w:t>Adjustable head bale (1 per vessel) should be included</w:t>
            </w:r>
          </w:p>
        </w:tc>
      </w:tr>
      <w:tr w:rsidTr="00C64E4F">
        <w:tblPrEx>
          <w:tblW w:w="5000" w:type="pct"/>
          <w:tblInd w:w="0" w:type="dxa"/>
          <w:tblCellMar>
            <w:top w:w="0" w:type="dxa"/>
            <w:left w:w="108" w:type="dxa"/>
            <w:bottom w:w="0" w:type="dxa"/>
            <w:right w:w="108" w:type="dxa"/>
          </w:tblCellMar>
          <w:tblLook w:val="01E0"/>
        </w:tblPrEx>
        <w:trPr>
          <w:trHeight w:val="327"/>
        </w:trPr>
        <w:tc>
          <w:tcPr>
            <w:tcW w:w="1017" w:type="pct"/>
            <w:vMerge/>
          </w:tcPr>
          <w:p w:rsidR="000D35BF" w:rsidRPr="00A7774C" w:rsidP="00C64E4F">
            <w:pPr>
              <w:pStyle w:val="TableText"/>
              <w:spacing w:before="60" w:after="60"/>
              <w:rPr>
                <w:rStyle w:val="DefaultParagraphFont"/>
                <w:rFonts w:eastAsia="Times New Roman" w:asciiTheme="majorHAnsi" w:hAnsiTheme="majorHAnsi" w:cs="Arial"/>
                <w:color w:val="000000"/>
                <w:sz w:val="19"/>
                <w:szCs w:val="18"/>
                <w:lang w:val="en-GB" w:eastAsia="ja-JP" w:bidi="ar-SA"/>
              </w:rPr>
            </w:pPr>
          </w:p>
        </w:tc>
        <w:tc>
          <w:tcPr>
            <w:tcW w:w="1485" w:type="pct"/>
            <w:vMerge/>
            <w:shd w:val="clear" w:color="auto" w:fill="auto"/>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p>
        </w:tc>
        <w:tc>
          <w:tcPr>
            <w:tcW w:w="1249" w:type="pct"/>
            <w:tcBorders>
              <w:top w:val="single" w:sz="4" w:space="0" w:color="auto"/>
              <w:bottom w:val="single" w:sz="4" w:space="0" w:color="auto"/>
            </w:tcBorders>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Times New Roman" w:asciiTheme="minorHAnsi" w:hAnsiTheme="minorHAnsi" w:cs="Arial"/>
                <w:color w:val="000000"/>
                <w:sz w:val="19"/>
                <w:szCs w:val="22"/>
                <w:lang w:val="en-GB" w:eastAsia="en-AU" w:bidi="ar-SA"/>
              </w:rPr>
              <w:t>Rope halter (1 per vessel)</w:t>
            </w:r>
          </w:p>
        </w:tc>
        <w:tc>
          <w:tcPr>
            <w:tcW w:w="1248" w:type="pct"/>
            <w:tcBorders>
              <w:top w:val="single" w:sz="4" w:space="0" w:color="auto"/>
              <w:bottom w:val="single" w:sz="4" w:space="0" w:color="auto"/>
            </w:tcBorders>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Times New Roman" w:asciiTheme="minorHAnsi" w:hAnsiTheme="minorHAnsi" w:cs="Arial"/>
                <w:color w:val="000000"/>
                <w:sz w:val="19"/>
                <w:szCs w:val="22"/>
                <w:lang w:val="en-GB" w:eastAsia="en-AU" w:bidi="ar-SA"/>
              </w:rPr>
              <w:t>Rope halter (1 per vessel)</w:t>
            </w:r>
          </w:p>
        </w:tc>
      </w:tr>
      <w:tr w:rsidTr="00C64E4F">
        <w:tblPrEx>
          <w:tblW w:w="5000" w:type="pct"/>
          <w:tblInd w:w="0" w:type="dxa"/>
          <w:tblCellMar>
            <w:top w:w="0" w:type="dxa"/>
            <w:left w:w="108" w:type="dxa"/>
            <w:bottom w:w="0" w:type="dxa"/>
            <w:right w:w="108" w:type="dxa"/>
          </w:tblCellMar>
          <w:tblLook w:val="01E0"/>
        </w:tblPrEx>
        <w:trPr>
          <w:trHeight w:val="327"/>
        </w:trPr>
        <w:tc>
          <w:tcPr>
            <w:tcW w:w="1017" w:type="pct"/>
            <w:vMerge/>
          </w:tcPr>
          <w:p w:rsidR="000D35BF" w:rsidRPr="00A7774C" w:rsidP="00C64E4F">
            <w:pPr>
              <w:pStyle w:val="TableText"/>
              <w:spacing w:before="60" w:after="60"/>
              <w:rPr>
                <w:rStyle w:val="DefaultParagraphFont"/>
                <w:rFonts w:eastAsia="Times New Roman" w:asciiTheme="majorHAnsi" w:hAnsiTheme="majorHAnsi" w:cs="Arial"/>
                <w:color w:val="000000"/>
                <w:sz w:val="19"/>
                <w:szCs w:val="18"/>
                <w:lang w:val="en-GB" w:eastAsia="ja-JP" w:bidi="ar-SA"/>
              </w:rPr>
            </w:pPr>
          </w:p>
        </w:tc>
        <w:tc>
          <w:tcPr>
            <w:tcW w:w="1485" w:type="pct"/>
            <w:vMerge/>
            <w:tcBorders>
              <w:bottom w:val="single" w:sz="4" w:space="0" w:color="auto"/>
            </w:tcBorders>
            <w:shd w:val="clear" w:color="auto" w:fill="auto"/>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p>
        </w:tc>
        <w:tc>
          <w:tcPr>
            <w:tcW w:w="1249" w:type="pct"/>
            <w:tcBorders>
              <w:top w:val="single" w:sz="4" w:space="0" w:color="auto"/>
              <w:bottom w:val="single" w:sz="4" w:space="0" w:color="auto"/>
            </w:tcBorders>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Times New Roman" w:asciiTheme="minorHAnsi" w:hAnsiTheme="minorHAnsi" w:cs="Arial"/>
                <w:color w:val="000000"/>
                <w:sz w:val="19"/>
                <w:szCs w:val="22"/>
                <w:lang w:val="en-GB" w:eastAsia="en-AU" w:bidi="ar-SA"/>
              </w:rPr>
              <w:t>Nose grip pliers (1 pair per vessel)</w:t>
            </w:r>
          </w:p>
        </w:tc>
        <w:tc>
          <w:tcPr>
            <w:tcW w:w="1248" w:type="pct"/>
            <w:tcBorders>
              <w:top w:val="single" w:sz="4" w:space="0" w:color="auto"/>
              <w:bottom w:val="single" w:sz="4" w:space="0" w:color="auto"/>
            </w:tcBorders>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Times New Roman" w:asciiTheme="minorHAnsi" w:hAnsiTheme="minorHAnsi" w:cs="Arial"/>
                <w:color w:val="000000"/>
                <w:sz w:val="19"/>
                <w:szCs w:val="22"/>
                <w:lang w:val="en-GB" w:eastAsia="en-AU" w:bidi="ar-SA"/>
              </w:rPr>
              <w:t>Nose grip pliers (1 pair per vessel)</w:t>
            </w:r>
          </w:p>
        </w:tc>
      </w:tr>
      <w:tr w:rsidTr="00C64E4F">
        <w:tblPrEx>
          <w:tblW w:w="5000" w:type="pct"/>
          <w:tblInd w:w="0" w:type="dxa"/>
          <w:tblCellMar>
            <w:top w:w="0" w:type="dxa"/>
            <w:left w:w="108" w:type="dxa"/>
            <w:bottom w:w="0" w:type="dxa"/>
            <w:right w:w="108" w:type="dxa"/>
          </w:tblCellMar>
          <w:tblLook w:val="01E0"/>
        </w:tblPrEx>
        <w:trPr>
          <w:trHeight w:val="327"/>
        </w:trPr>
        <w:tc>
          <w:tcPr>
            <w:tcW w:w="1017" w:type="pct"/>
            <w:vMerge/>
          </w:tcPr>
          <w:p w:rsidR="000D35BF" w:rsidRPr="00A7774C" w:rsidP="00C64E4F">
            <w:pPr>
              <w:spacing w:after="120" w:line="276" w:lineRule="auto"/>
              <w:jc w:val="center"/>
              <w:rPr>
                <w:rStyle w:val="DefaultParagraphFont"/>
                <w:rFonts w:asciiTheme="majorHAnsi" w:eastAsiaTheme="minorHAnsi" w:hAnsiTheme="majorHAnsi" w:cstheme="minorBidi"/>
                <w:sz w:val="18"/>
                <w:szCs w:val="18"/>
                <w:lang w:val="en-AU" w:eastAsia="ja-JP" w:bidi="ar-SA"/>
              </w:rPr>
            </w:pPr>
          </w:p>
        </w:tc>
        <w:tc>
          <w:tcPr>
            <w:tcW w:w="1485" w:type="pct"/>
            <w:tcBorders>
              <w:top w:val="single" w:sz="4" w:space="0" w:color="auto"/>
              <w:bottom w:val="single" w:sz="4" w:space="0" w:color="auto"/>
            </w:tcBorders>
            <w:shd w:val="clear" w:color="auto" w:fill="auto"/>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Times New Roman" w:asciiTheme="minorHAnsi" w:hAnsiTheme="minorHAnsi" w:cs="Arial"/>
                <w:color w:val="000000"/>
                <w:sz w:val="19"/>
                <w:szCs w:val="22"/>
                <w:lang w:val="en-GB" w:eastAsia="en-AU" w:bidi="ar-SA"/>
              </w:rPr>
              <w:t>Post-mortem kit</w:t>
            </w:r>
          </w:p>
        </w:tc>
        <w:tc>
          <w:tcPr>
            <w:tcW w:w="1249" w:type="pct"/>
            <w:tcBorders>
              <w:top w:val="single" w:sz="4" w:space="0" w:color="auto"/>
              <w:bottom w:val="single" w:sz="4" w:space="0" w:color="auto"/>
            </w:tcBorders>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Times New Roman" w:asciiTheme="minorHAnsi" w:hAnsiTheme="minorHAnsi" w:cs="Arial"/>
                <w:color w:val="000000"/>
                <w:sz w:val="19"/>
                <w:szCs w:val="22"/>
                <w:lang w:val="en-GB" w:eastAsia="en-AU" w:bidi="ar-SA"/>
              </w:rPr>
              <w:t>2 post-mortem knives plus steel and sharpening stone per vessel</w:t>
            </w:r>
          </w:p>
        </w:tc>
        <w:tc>
          <w:tcPr>
            <w:tcW w:w="1248" w:type="pct"/>
            <w:tcBorders>
              <w:top w:val="single" w:sz="4" w:space="0" w:color="auto"/>
              <w:bottom w:val="single" w:sz="4" w:space="0" w:color="auto"/>
            </w:tcBorders>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Times New Roman" w:asciiTheme="minorHAnsi" w:hAnsiTheme="minorHAnsi" w:cs="Arial"/>
                <w:color w:val="000000"/>
                <w:sz w:val="19"/>
                <w:szCs w:val="22"/>
                <w:lang w:val="en-GB" w:eastAsia="en-AU" w:bidi="ar-SA"/>
              </w:rPr>
              <w:t>2 post-mortem knives plus steel and sharpening stone per vessel</w:t>
            </w:r>
          </w:p>
        </w:tc>
      </w:tr>
      <w:tr w:rsidTr="00C64E4F">
        <w:tblPrEx>
          <w:tblW w:w="5000" w:type="pct"/>
          <w:tblInd w:w="0" w:type="dxa"/>
          <w:tblCellMar>
            <w:top w:w="0" w:type="dxa"/>
            <w:left w:w="108" w:type="dxa"/>
            <w:bottom w:w="0" w:type="dxa"/>
            <w:right w:w="108" w:type="dxa"/>
          </w:tblCellMar>
          <w:tblLook w:val="01E0"/>
        </w:tblPrEx>
        <w:trPr>
          <w:trHeight w:val="327"/>
        </w:trPr>
        <w:tc>
          <w:tcPr>
            <w:tcW w:w="1017" w:type="pct"/>
            <w:vMerge/>
          </w:tcPr>
          <w:p w:rsidR="000D35BF" w:rsidRPr="00A7774C" w:rsidP="00C64E4F">
            <w:pPr>
              <w:pStyle w:val="TableText"/>
              <w:spacing w:before="60" w:after="60"/>
              <w:jc w:val="center"/>
              <w:rPr>
                <w:rStyle w:val="DefaultParagraphFont"/>
                <w:rFonts w:eastAsia="Times New Roman" w:asciiTheme="majorHAnsi" w:hAnsiTheme="majorHAnsi" w:cs="Arial"/>
                <w:color w:val="000000"/>
                <w:sz w:val="19"/>
                <w:szCs w:val="18"/>
                <w:lang w:val="en-GB" w:eastAsia="ja-JP" w:bidi="ar-SA"/>
              </w:rPr>
            </w:pPr>
          </w:p>
        </w:tc>
        <w:tc>
          <w:tcPr>
            <w:tcW w:w="1485" w:type="pct"/>
            <w:tcBorders>
              <w:top w:val="single" w:sz="4" w:space="0" w:color="auto"/>
              <w:bottom w:val="single" w:sz="4" w:space="0" w:color="auto"/>
            </w:tcBorders>
            <w:shd w:val="clear" w:color="auto" w:fill="auto"/>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Times New Roman" w:asciiTheme="minorHAnsi" w:hAnsiTheme="minorHAnsi" w:cs="Arial"/>
                <w:color w:val="000000"/>
                <w:sz w:val="19"/>
                <w:szCs w:val="22"/>
                <w:lang w:val="en-GB" w:eastAsia="en-AU" w:bidi="ar-SA"/>
              </w:rPr>
              <w:t>Remotely triggered syringe device</w:t>
            </w:r>
          </w:p>
        </w:tc>
        <w:tc>
          <w:tcPr>
            <w:tcW w:w="1249" w:type="pct"/>
            <w:tcBorders>
              <w:top w:val="single" w:sz="4" w:space="0" w:color="auto"/>
              <w:bottom w:val="single" w:sz="4" w:space="0" w:color="auto"/>
            </w:tcBorders>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Times New Roman" w:asciiTheme="minorHAnsi" w:hAnsiTheme="minorHAnsi" w:cs="Arial"/>
                <w:color w:val="000000"/>
                <w:sz w:val="19"/>
                <w:szCs w:val="22"/>
                <w:lang w:val="en-GB" w:eastAsia="en-AU" w:bidi="ar-SA"/>
              </w:rPr>
              <w:t>1 syringe plus spare parts per vessel, plus 10 spare needles per 1,000 animals</w:t>
            </w:r>
          </w:p>
        </w:tc>
        <w:tc>
          <w:tcPr>
            <w:tcW w:w="1248" w:type="pct"/>
            <w:tcBorders>
              <w:top w:val="single" w:sz="4" w:space="0" w:color="auto"/>
              <w:bottom w:val="single" w:sz="4" w:space="0" w:color="auto"/>
            </w:tcBorders>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Times New Roman" w:asciiTheme="minorHAnsi" w:hAnsiTheme="minorHAnsi" w:cs="Arial"/>
                <w:color w:val="000000"/>
                <w:sz w:val="19"/>
                <w:szCs w:val="22"/>
                <w:lang w:val="en-GB" w:eastAsia="en-AU" w:bidi="ar-SA"/>
              </w:rPr>
              <w:t>1 syringe plus spare parts per vessel, plus 10 spare needles per 1,000 animals</w:t>
            </w:r>
          </w:p>
        </w:tc>
      </w:tr>
      <w:tr w:rsidTr="00C64E4F">
        <w:tblPrEx>
          <w:tblW w:w="5000" w:type="pct"/>
          <w:tblInd w:w="0" w:type="dxa"/>
          <w:tblCellMar>
            <w:top w:w="0" w:type="dxa"/>
            <w:left w:w="108" w:type="dxa"/>
            <w:bottom w:w="0" w:type="dxa"/>
            <w:right w:w="108" w:type="dxa"/>
          </w:tblCellMar>
          <w:tblLook w:val="01E0"/>
        </w:tblPrEx>
        <w:trPr>
          <w:trHeight w:val="327"/>
        </w:trPr>
        <w:tc>
          <w:tcPr>
            <w:tcW w:w="1017" w:type="pct"/>
            <w:vMerge/>
            <w:tcBorders>
              <w:bottom w:val="single" w:sz="4" w:space="0" w:color="auto"/>
            </w:tcBorders>
          </w:tcPr>
          <w:p w:rsidR="000D35BF" w:rsidRPr="00A7774C" w:rsidP="00C64E4F">
            <w:pPr>
              <w:pStyle w:val="TableText"/>
              <w:spacing w:before="60" w:after="60"/>
              <w:rPr>
                <w:rStyle w:val="DefaultParagraphFont"/>
                <w:rFonts w:eastAsia="Times New Roman" w:asciiTheme="majorHAnsi" w:hAnsiTheme="majorHAnsi" w:cs="Arial"/>
                <w:color w:val="000000"/>
                <w:sz w:val="19"/>
                <w:szCs w:val="18"/>
                <w:lang w:val="en-GB" w:eastAsia="ja-JP" w:bidi="ar-SA"/>
              </w:rPr>
            </w:pPr>
          </w:p>
        </w:tc>
        <w:tc>
          <w:tcPr>
            <w:tcW w:w="1485" w:type="pct"/>
            <w:tcBorders>
              <w:top w:val="single" w:sz="4" w:space="0" w:color="auto"/>
              <w:bottom w:val="single" w:sz="4" w:space="0" w:color="auto"/>
            </w:tcBorders>
            <w:shd w:val="clear" w:color="auto" w:fill="auto"/>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Times New Roman" w:asciiTheme="minorHAnsi" w:hAnsiTheme="minorHAnsi" w:cs="Arial"/>
                <w:color w:val="000000"/>
                <w:sz w:val="19"/>
                <w:szCs w:val="22"/>
                <w:lang w:val="en-GB" w:eastAsia="en-AU" w:bidi="ar-SA"/>
              </w:rPr>
              <w:t>Captive-bolt gun</w:t>
            </w:r>
          </w:p>
        </w:tc>
        <w:tc>
          <w:tcPr>
            <w:tcW w:w="1249" w:type="pct"/>
            <w:tcBorders>
              <w:top w:val="single" w:sz="4" w:space="0" w:color="auto"/>
              <w:bottom w:val="single" w:sz="4" w:space="0" w:color="auto"/>
            </w:tcBorders>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Times New Roman" w:asciiTheme="minorHAnsi" w:hAnsiTheme="minorHAnsi" w:cs="Arial"/>
                <w:color w:val="000000"/>
                <w:sz w:val="19"/>
                <w:szCs w:val="22"/>
                <w:lang w:val="en-GB" w:eastAsia="en-AU" w:bidi="ar-SA"/>
              </w:rPr>
              <w:t>1 per vessel, plus 40 cartridges per 1,000 animals</w:t>
            </w:r>
          </w:p>
        </w:tc>
        <w:tc>
          <w:tcPr>
            <w:tcW w:w="1248" w:type="pct"/>
            <w:tcBorders>
              <w:top w:val="single" w:sz="4" w:space="0" w:color="auto"/>
              <w:bottom w:val="single" w:sz="4" w:space="0" w:color="auto"/>
            </w:tcBorders>
          </w:tcPr>
          <w:p w:rsidR="000D35BF" w:rsidRPr="00D11DCF"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D11DCF">
              <w:rPr>
                <w:rFonts w:eastAsia="Times New Roman" w:asciiTheme="minorHAnsi" w:hAnsiTheme="minorHAnsi" w:cs="Arial"/>
                <w:color w:val="000000"/>
                <w:sz w:val="19"/>
                <w:szCs w:val="22"/>
                <w:lang w:val="en-GB" w:eastAsia="en-AU" w:bidi="ar-SA"/>
              </w:rPr>
              <w:t>1 per vessel, plus 40 cartridges per 1,000 animals</w:t>
            </w:r>
          </w:p>
        </w:tc>
      </w:tr>
    </w:tbl>
    <w:p w:rsidR="000D35BF" w:rsidRPr="001C3F20" w:rsidP="001C3F20">
      <w:pPr>
        <w:rPr>
          <w:b/>
          <w:bCs/>
        </w:rPr>
      </w:pPr>
      <w:r>
        <w:br w:type="textWrapping" w:clear="all"/>
      </w:r>
      <w:r w:rsidRPr="001C3F20">
        <w:rPr>
          <w:b/>
          <w:bCs/>
        </w:rPr>
        <w:t xml:space="preserve">Table 14 Minimum veterinary medicines and </w:t>
      </w:r>
      <w:r w:rsidRPr="001C3F20">
        <w:rPr>
          <w:b/>
          <w:bCs/>
        </w:rPr>
        <w:t>veterinary equipment for cattle</w:t>
      </w:r>
    </w:p>
    <w:tbl>
      <w:tblPr>
        <w:tblW w:w="5000" w:type="pct"/>
        <w:tblInd w:w="0" w:type="dxa"/>
        <w:tblBorders>
          <w:top w:val="single" w:sz="4" w:space="0" w:color="auto"/>
          <w:bottom w:val="single" w:sz="4" w:space="0" w:color="auto"/>
        </w:tblBorders>
        <w:tblCellMar>
          <w:top w:w="0" w:type="dxa"/>
          <w:left w:w="108" w:type="dxa"/>
          <w:bottom w:w="0" w:type="dxa"/>
          <w:right w:w="108" w:type="dxa"/>
        </w:tblCellMar>
        <w:tblLook w:val="01E0"/>
      </w:tblPr>
      <w:tblGrid>
        <w:gridCol w:w="1915"/>
        <w:gridCol w:w="2795"/>
        <w:gridCol w:w="2353"/>
        <w:gridCol w:w="2349"/>
      </w:tblGrid>
      <w:tr w:rsidTr="00C64E4F">
        <w:tblPrEx>
          <w:tblW w:w="5000" w:type="pct"/>
          <w:tblInd w:w="0" w:type="dxa"/>
          <w:tblBorders>
            <w:top w:val="single" w:sz="4" w:space="0" w:color="auto"/>
            <w:bottom w:val="single" w:sz="4" w:space="0" w:color="auto"/>
          </w:tblBorders>
          <w:tblCellMar>
            <w:top w:w="0" w:type="dxa"/>
            <w:left w:w="108" w:type="dxa"/>
            <w:bottom w:w="0" w:type="dxa"/>
            <w:right w:w="108" w:type="dxa"/>
          </w:tblCellMar>
          <w:tblLook w:val="01E0"/>
        </w:tblPrEx>
        <w:trPr>
          <w:trHeight w:val="749"/>
          <w:tblHeader/>
        </w:trPr>
        <w:tc>
          <w:tcPr>
            <w:tcW w:w="1017" w:type="pct"/>
            <w:tcBorders>
              <w:top w:val="single" w:sz="4" w:space="0" w:color="auto"/>
              <w:bottom w:val="single" w:sz="4" w:space="0" w:color="auto"/>
            </w:tcBorders>
          </w:tcPr>
          <w:p w:rsidR="000D35BF" w:rsidRPr="00F748CB" w:rsidP="00C64E4F">
            <w:pPr>
              <w:pStyle w:val="TableHeading"/>
              <w:keepNext/>
              <w:spacing w:before="60" w:after="60" w:line="240" w:lineRule="auto"/>
              <w:rPr>
                <w:rStyle w:val="DefaultParagraphFont"/>
                <w:rFonts w:asciiTheme="minorHAnsi" w:eastAsiaTheme="minorHAnsi" w:hAnsiTheme="minorHAnsi" w:cstheme="minorBidi"/>
                <w:b/>
                <w:sz w:val="19"/>
                <w:szCs w:val="22"/>
                <w:lang w:val="en-AU" w:eastAsia="en-US" w:bidi="ar-SA"/>
              </w:rPr>
            </w:pPr>
            <w:r w:rsidRPr="00F748CB">
              <w:rPr>
                <w:rFonts w:asciiTheme="minorHAnsi" w:eastAsiaTheme="minorHAnsi" w:hAnsiTheme="minorHAnsi" w:cstheme="minorBidi"/>
                <w:b/>
                <w:sz w:val="19"/>
                <w:szCs w:val="22"/>
                <w:lang w:val="en-AU" w:eastAsia="en-US" w:bidi="ar-SA"/>
              </w:rPr>
              <w:t>Category</w:t>
            </w:r>
          </w:p>
        </w:tc>
        <w:tc>
          <w:tcPr>
            <w:tcW w:w="1485" w:type="pct"/>
            <w:tcBorders>
              <w:top w:val="single" w:sz="4" w:space="0" w:color="auto"/>
              <w:bottom w:val="single" w:sz="4" w:space="0" w:color="auto"/>
            </w:tcBorders>
            <w:shd w:val="clear" w:color="auto" w:fill="auto"/>
          </w:tcPr>
          <w:p w:rsidR="000D35BF" w:rsidRPr="00F748CB" w:rsidP="00C64E4F">
            <w:pPr>
              <w:pStyle w:val="TableHeading"/>
              <w:keepNext/>
              <w:spacing w:before="60" w:after="60" w:line="240" w:lineRule="auto"/>
              <w:rPr>
                <w:rStyle w:val="DefaultParagraphFont"/>
                <w:rFonts w:asciiTheme="minorHAnsi" w:eastAsiaTheme="minorHAnsi" w:hAnsiTheme="minorHAnsi" w:cstheme="minorBidi"/>
                <w:b/>
                <w:sz w:val="19"/>
                <w:szCs w:val="22"/>
                <w:lang w:val="en-AU" w:eastAsia="en-US" w:bidi="ar-SA"/>
              </w:rPr>
            </w:pPr>
            <w:r w:rsidRPr="00F748CB">
              <w:rPr>
                <w:rFonts w:asciiTheme="minorHAnsi" w:eastAsiaTheme="minorHAnsi" w:hAnsiTheme="minorHAnsi" w:cstheme="minorBidi"/>
                <w:b/>
                <w:sz w:val="19"/>
                <w:szCs w:val="22"/>
                <w:lang w:val="en-AU" w:eastAsia="en-US" w:bidi="ar-SA"/>
              </w:rPr>
              <w:t>Medicines and equipment (per 1,000 cattle)</w:t>
            </w:r>
          </w:p>
        </w:tc>
        <w:tc>
          <w:tcPr>
            <w:tcW w:w="1250" w:type="pct"/>
            <w:tcBorders>
              <w:top w:val="single" w:sz="4" w:space="0" w:color="auto"/>
              <w:bottom w:val="single" w:sz="4" w:space="0" w:color="auto"/>
            </w:tcBorders>
          </w:tcPr>
          <w:p w:rsidR="000D35BF" w:rsidRPr="00F748CB" w:rsidP="00C64E4F">
            <w:pPr>
              <w:pStyle w:val="TableHeading"/>
              <w:keepNext/>
              <w:spacing w:before="60" w:after="60" w:line="240" w:lineRule="auto"/>
              <w:rPr>
                <w:rStyle w:val="DefaultParagraphFont"/>
                <w:rFonts w:asciiTheme="minorHAnsi" w:eastAsiaTheme="minorHAnsi" w:hAnsiTheme="minorHAnsi" w:cstheme="minorBidi"/>
                <w:b/>
                <w:sz w:val="19"/>
                <w:szCs w:val="22"/>
                <w:lang w:val="en-AU" w:eastAsia="en-US" w:bidi="ar-SA"/>
              </w:rPr>
            </w:pPr>
            <w:r w:rsidRPr="00F748CB">
              <w:rPr>
                <w:rFonts w:asciiTheme="minorHAnsi" w:eastAsiaTheme="minorHAnsi" w:hAnsiTheme="minorHAnsi" w:cstheme="minorBidi"/>
                <w:b/>
                <w:sz w:val="19"/>
                <w:szCs w:val="22"/>
                <w:lang w:val="en-AU" w:eastAsia="en-US" w:bidi="ar-SA"/>
              </w:rPr>
              <w:t>Voyages of less than 10 days</w:t>
            </w:r>
          </w:p>
        </w:tc>
        <w:tc>
          <w:tcPr>
            <w:tcW w:w="1248" w:type="pct"/>
            <w:tcBorders>
              <w:top w:val="single" w:sz="4" w:space="0" w:color="auto"/>
              <w:bottom w:val="single" w:sz="4" w:space="0" w:color="auto"/>
            </w:tcBorders>
          </w:tcPr>
          <w:p w:rsidR="000D35BF" w:rsidRPr="00F748CB" w:rsidP="00C64E4F">
            <w:pPr>
              <w:pStyle w:val="TableHeading"/>
              <w:keepNext/>
              <w:spacing w:before="60" w:after="60" w:line="240" w:lineRule="auto"/>
              <w:rPr>
                <w:rStyle w:val="DefaultParagraphFont"/>
                <w:rFonts w:asciiTheme="minorHAnsi" w:eastAsiaTheme="minorHAnsi" w:hAnsiTheme="minorHAnsi" w:cstheme="minorBidi"/>
                <w:b/>
                <w:sz w:val="19"/>
                <w:szCs w:val="22"/>
                <w:lang w:val="en-AU" w:eastAsia="en-US" w:bidi="ar-SA"/>
              </w:rPr>
            </w:pPr>
            <w:r w:rsidRPr="00F748CB">
              <w:rPr>
                <w:rFonts w:asciiTheme="minorHAnsi" w:eastAsiaTheme="minorHAnsi" w:hAnsiTheme="minorHAnsi" w:cstheme="minorBidi"/>
                <w:b/>
                <w:sz w:val="19"/>
                <w:szCs w:val="22"/>
                <w:lang w:val="en-AU" w:eastAsia="en-US" w:bidi="ar-SA"/>
              </w:rPr>
              <w:t>Voyages of 10 days or more</w:t>
            </w:r>
          </w:p>
        </w:tc>
      </w:tr>
      <w:tr w:rsidTr="00C64E4F">
        <w:tblPrEx>
          <w:tblW w:w="5000" w:type="pct"/>
          <w:tblInd w:w="0" w:type="dxa"/>
          <w:tblCellMar>
            <w:top w:w="0" w:type="dxa"/>
            <w:left w:w="108" w:type="dxa"/>
            <w:bottom w:w="0" w:type="dxa"/>
            <w:right w:w="108" w:type="dxa"/>
          </w:tblCellMar>
          <w:tblLook w:val="01E0"/>
        </w:tblPrEx>
        <w:trPr>
          <w:trHeight w:val="327"/>
        </w:trPr>
        <w:tc>
          <w:tcPr>
            <w:tcW w:w="1017" w:type="pct"/>
            <w:tcBorders>
              <w:top w:val="single" w:sz="4" w:space="0" w:color="auto"/>
              <w:bottom w:val="nil"/>
            </w:tcBorders>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Times New Roman" w:asciiTheme="minorHAnsi" w:hAnsiTheme="minorHAnsi" w:cs="Arial"/>
                <w:color w:val="000000"/>
                <w:sz w:val="19"/>
                <w:szCs w:val="22"/>
                <w:lang w:val="en-GB" w:eastAsia="en-AU" w:bidi="ar-SA"/>
              </w:rPr>
              <w:t>Injectable antibiotics</w:t>
            </w:r>
          </w:p>
        </w:tc>
        <w:tc>
          <w:tcPr>
            <w:tcW w:w="1485" w:type="pct"/>
            <w:tcBorders>
              <w:top w:val="single" w:sz="4" w:space="0" w:color="auto"/>
              <w:bottom w:val="single" w:sz="4" w:space="0" w:color="auto"/>
            </w:tcBorders>
            <w:shd w:val="clear" w:color="auto" w:fill="auto"/>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Cambria" w:asciiTheme="minorHAnsi" w:hAnsiTheme="minorHAnsi" w:cs="Arial"/>
                <w:color w:val="000000"/>
                <w:sz w:val="19"/>
                <w:szCs w:val="22"/>
                <w:vertAlign w:val="superscript"/>
                <w:lang w:val="en-US" w:eastAsia="en-AU" w:bidi="ar-SA"/>
              </w:rPr>
              <w:t>1</w:t>
            </w:r>
            <w:r w:rsidRPr="00443A8E">
              <w:rPr>
                <w:rFonts w:eastAsia="Times New Roman" w:asciiTheme="minorHAnsi" w:hAnsiTheme="minorHAnsi" w:cs="Arial"/>
                <w:color w:val="000000"/>
                <w:sz w:val="19"/>
                <w:szCs w:val="22"/>
                <w:lang w:val="en-GB" w:eastAsia="en-AU" w:bidi="ar-SA"/>
              </w:rPr>
              <w:t>Penicillin (short acting)</w:t>
            </w:r>
          </w:p>
        </w:tc>
        <w:tc>
          <w:tcPr>
            <w:tcW w:w="1250" w:type="pct"/>
            <w:tcBorders>
              <w:top w:val="single" w:sz="4" w:space="0" w:color="auto"/>
              <w:bottom w:val="single" w:sz="4" w:space="0" w:color="auto"/>
            </w:tcBorders>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Times New Roman" w:asciiTheme="minorHAnsi" w:hAnsiTheme="minorHAnsi" w:cs="Arial"/>
                <w:color w:val="000000"/>
                <w:sz w:val="19"/>
                <w:szCs w:val="22"/>
                <w:lang w:val="en-GB" w:eastAsia="en-AU" w:bidi="ar-SA"/>
              </w:rPr>
              <w:t>15 cattle doses</w:t>
            </w:r>
          </w:p>
        </w:tc>
        <w:tc>
          <w:tcPr>
            <w:tcW w:w="1248" w:type="pct"/>
            <w:tcBorders>
              <w:top w:val="single" w:sz="4" w:space="0" w:color="auto"/>
              <w:bottom w:val="single" w:sz="4" w:space="0" w:color="auto"/>
            </w:tcBorders>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Times New Roman" w:asciiTheme="minorHAnsi" w:hAnsiTheme="minorHAnsi" w:cs="Arial"/>
                <w:color w:val="000000"/>
                <w:sz w:val="19"/>
                <w:szCs w:val="22"/>
                <w:lang w:val="en-GB" w:eastAsia="en-AU" w:bidi="ar-SA"/>
              </w:rPr>
              <w:t>30 cattle doses</w:t>
            </w:r>
          </w:p>
        </w:tc>
      </w:tr>
      <w:tr w:rsidTr="00C64E4F">
        <w:tblPrEx>
          <w:tblW w:w="5000" w:type="pct"/>
          <w:tblInd w:w="0" w:type="dxa"/>
          <w:tblCellMar>
            <w:top w:w="0" w:type="dxa"/>
            <w:left w:w="108" w:type="dxa"/>
            <w:bottom w:w="0" w:type="dxa"/>
            <w:right w:w="108" w:type="dxa"/>
          </w:tblCellMar>
          <w:tblLook w:val="01E0"/>
        </w:tblPrEx>
        <w:trPr>
          <w:trHeight w:val="327"/>
        </w:trPr>
        <w:tc>
          <w:tcPr>
            <w:tcW w:w="1017" w:type="pct"/>
            <w:vMerge w:val="restart"/>
            <w:tcBorders>
              <w:top w:val="nil"/>
            </w:tcBorders>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p>
        </w:tc>
        <w:tc>
          <w:tcPr>
            <w:tcW w:w="1485" w:type="pct"/>
            <w:tcBorders>
              <w:top w:val="single" w:sz="4" w:space="0" w:color="auto"/>
              <w:bottom w:val="single" w:sz="4" w:space="0" w:color="auto"/>
            </w:tcBorders>
            <w:shd w:val="clear" w:color="auto" w:fill="auto"/>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Cambria" w:asciiTheme="minorHAnsi" w:hAnsiTheme="minorHAnsi" w:cs="Arial"/>
                <w:color w:val="000000"/>
                <w:sz w:val="19"/>
                <w:szCs w:val="22"/>
                <w:vertAlign w:val="superscript"/>
                <w:lang w:val="en-US" w:eastAsia="en-AU" w:bidi="ar-SA"/>
              </w:rPr>
              <w:t>1</w:t>
            </w:r>
            <w:r w:rsidRPr="00443A8E">
              <w:rPr>
                <w:rFonts w:eastAsia="Times New Roman" w:asciiTheme="minorHAnsi" w:hAnsiTheme="minorHAnsi" w:cs="Arial"/>
                <w:color w:val="000000"/>
                <w:sz w:val="19"/>
                <w:szCs w:val="22"/>
                <w:lang w:val="en-GB" w:eastAsia="en-AU" w:bidi="ar-SA"/>
              </w:rPr>
              <w:t xml:space="preserve">Oxytetracycline (long </w:t>
            </w:r>
            <w:r w:rsidRPr="00443A8E">
              <w:rPr>
                <w:rFonts w:eastAsia="Times New Roman" w:asciiTheme="minorHAnsi" w:hAnsiTheme="minorHAnsi" w:cs="Arial"/>
                <w:color w:val="000000"/>
                <w:sz w:val="19"/>
                <w:szCs w:val="22"/>
                <w:lang w:val="en-GB" w:eastAsia="en-AU" w:bidi="ar-SA"/>
              </w:rPr>
              <w:t>acting) or equivalent</w:t>
            </w:r>
          </w:p>
        </w:tc>
        <w:tc>
          <w:tcPr>
            <w:tcW w:w="1250" w:type="pct"/>
            <w:tcBorders>
              <w:top w:val="single" w:sz="4" w:space="0" w:color="auto"/>
              <w:bottom w:val="single" w:sz="4" w:space="0" w:color="auto"/>
            </w:tcBorders>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Times New Roman" w:asciiTheme="minorHAnsi" w:hAnsiTheme="minorHAnsi" w:cs="Arial"/>
                <w:color w:val="000000"/>
                <w:sz w:val="19"/>
                <w:szCs w:val="22"/>
                <w:lang w:val="en-GB" w:eastAsia="en-AU" w:bidi="ar-SA"/>
              </w:rPr>
              <w:t>15 cattle doses</w:t>
            </w:r>
          </w:p>
        </w:tc>
        <w:tc>
          <w:tcPr>
            <w:tcW w:w="1248" w:type="pct"/>
            <w:tcBorders>
              <w:top w:val="single" w:sz="4" w:space="0" w:color="auto"/>
              <w:bottom w:val="single" w:sz="4" w:space="0" w:color="auto"/>
            </w:tcBorders>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Times New Roman" w:asciiTheme="minorHAnsi" w:hAnsiTheme="minorHAnsi" w:cs="Arial"/>
                <w:color w:val="000000"/>
                <w:sz w:val="19"/>
                <w:szCs w:val="22"/>
                <w:lang w:val="en-GB" w:eastAsia="en-AU" w:bidi="ar-SA"/>
              </w:rPr>
              <w:t>30 cattle doses</w:t>
            </w:r>
          </w:p>
        </w:tc>
      </w:tr>
      <w:tr w:rsidTr="00C64E4F">
        <w:tblPrEx>
          <w:tblW w:w="5000" w:type="pct"/>
          <w:tblInd w:w="0" w:type="dxa"/>
          <w:tblCellMar>
            <w:top w:w="0" w:type="dxa"/>
            <w:left w:w="108" w:type="dxa"/>
            <w:bottom w:w="0" w:type="dxa"/>
            <w:right w:w="108" w:type="dxa"/>
          </w:tblCellMar>
          <w:tblLook w:val="01E0"/>
        </w:tblPrEx>
        <w:trPr>
          <w:trHeight w:val="327"/>
        </w:trPr>
        <w:tc>
          <w:tcPr>
            <w:tcW w:w="1017" w:type="pct"/>
            <w:vMerge/>
            <w:tcBorders>
              <w:bottom w:val="single" w:sz="4" w:space="0" w:color="auto"/>
            </w:tcBorders>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p>
        </w:tc>
        <w:tc>
          <w:tcPr>
            <w:tcW w:w="1485" w:type="pct"/>
            <w:tcBorders>
              <w:top w:val="single" w:sz="4" w:space="0" w:color="auto"/>
              <w:bottom w:val="single" w:sz="4" w:space="0" w:color="auto"/>
            </w:tcBorders>
            <w:shd w:val="clear" w:color="auto" w:fill="auto"/>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Cambria" w:asciiTheme="minorHAnsi" w:hAnsiTheme="minorHAnsi" w:cs="Arial"/>
                <w:color w:val="000000"/>
                <w:sz w:val="19"/>
                <w:szCs w:val="22"/>
                <w:vertAlign w:val="superscript"/>
                <w:lang w:val="en-US" w:eastAsia="en-AU" w:bidi="ar-SA"/>
              </w:rPr>
              <w:t>1</w:t>
            </w:r>
            <w:r w:rsidRPr="00443A8E">
              <w:rPr>
                <w:rFonts w:eastAsia="Times New Roman" w:asciiTheme="minorHAnsi" w:hAnsiTheme="minorHAnsi" w:cs="Arial"/>
                <w:color w:val="000000"/>
                <w:sz w:val="19"/>
                <w:szCs w:val="22"/>
                <w:lang w:val="en-GB" w:eastAsia="en-AU" w:bidi="ar-SA"/>
              </w:rPr>
              <w:t>Antibiotic(s) appropriate for the treatment of bovine respiratory disease (may include Florfenicol, Tilmicosin, Tulathromycin, Tylosin)</w:t>
            </w:r>
          </w:p>
        </w:tc>
        <w:tc>
          <w:tcPr>
            <w:tcW w:w="1250" w:type="pct"/>
            <w:tcBorders>
              <w:bottom w:val="single" w:sz="4" w:space="0" w:color="auto"/>
            </w:tcBorders>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Times New Roman" w:asciiTheme="minorHAnsi" w:hAnsiTheme="minorHAnsi" w:cs="Arial"/>
                <w:color w:val="000000"/>
                <w:sz w:val="19"/>
                <w:szCs w:val="22"/>
                <w:lang w:val="en-GB" w:eastAsia="en-AU" w:bidi="ar-SA"/>
              </w:rPr>
              <w:t>15 cattle doses</w:t>
            </w:r>
          </w:p>
        </w:tc>
        <w:tc>
          <w:tcPr>
            <w:tcW w:w="1248" w:type="pct"/>
            <w:tcBorders>
              <w:bottom w:val="single" w:sz="4" w:space="0" w:color="auto"/>
            </w:tcBorders>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Times New Roman" w:asciiTheme="minorHAnsi" w:hAnsiTheme="minorHAnsi" w:cs="Arial"/>
                <w:color w:val="000000"/>
                <w:sz w:val="19"/>
                <w:szCs w:val="22"/>
                <w:lang w:val="en-GB" w:eastAsia="en-AU" w:bidi="ar-SA"/>
              </w:rPr>
              <w:t>30 cattle doses</w:t>
            </w:r>
          </w:p>
        </w:tc>
      </w:tr>
      <w:tr w:rsidTr="00C64E4F">
        <w:tblPrEx>
          <w:tblW w:w="5000" w:type="pct"/>
          <w:tblInd w:w="0" w:type="dxa"/>
          <w:tblCellMar>
            <w:top w:w="0" w:type="dxa"/>
            <w:left w:w="108" w:type="dxa"/>
            <w:bottom w:w="0" w:type="dxa"/>
            <w:right w:w="108" w:type="dxa"/>
          </w:tblCellMar>
          <w:tblLook w:val="01E0"/>
        </w:tblPrEx>
        <w:trPr>
          <w:trHeight w:val="327"/>
        </w:trPr>
        <w:tc>
          <w:tcPr>
            <w:tcW w:w="1017" w:type="pct"/>
            <w:vMerge w:val="restart"/>
            <w:tcBorders>
              <w:top w:val="single" w:sz="4" w:space="0" w:color="auto"/>
            </w:tcBorders>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Times New Roman" w:asciiTheme="minorHAnsi" w:hAnsiTheme="minorHAnsi" w:cs="Arial"/>
                <w:color w:val="000000"/>
                <w:sz w:val="19"/>
                <w:szCs w:val="22"/>
                <w:lang w:val="en-GB" w:eastAsia="en-AU" w:bidi="ar-SA"/>
              </w:rPr>
              <w:t>Anti-inflammatory medicines</w:t>
            </w:r>
          </w:p>
        </w:tc>
        <w:tc>
          <w:tcPr>
            <w:tcW w:w="1485" w:type="pct"/>
            <w:tcBorders>
              <w:top w:val="single" w:sz="4" w:space="0" w:color="auto"/>
              <w:bottom w:val="single" w:sz="4" w:space="0" w:color="auto"/>
            </w:tcBorders>
            <w:shd w:val="clear" w:color="auto" w:fill="auto"/>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07551C">
              <w:rPr>
                <w:rFonts w:eastAsia="Times New Roman" w:asciiTheme="minorHAnsi" w:hAnsiTheme="minorHAnsi" w:cs="Arial"/>
                <w:color w:val="000000"/>
                <w:sz w:val="19"/>
                <w:szCs w:val="22"/>
                <w:lang w:val="en-GB" w:eastAsia="en-AU" w:bidi="ar-SA"/>
              </w:rPr>
              <w:t>Dexamethasone</w:t>
            </w:r>
          </w:p>
        </w:tc>
        <w:tc>
          <w:tcPr>
            <w:tcW w:w="1250" w:type="pct"/>
            <w:tcBorders>
              <w:top w:val="single" w:sz="4" w:space="0" w:color="auto"/>
              <w:bottom w:val="single" w:sz="4" w:space="0" w:color="auto"/>
            </w:tcBorders>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Times New Roman" w:asciiTheme="minorHAnsi" w:hAnsiTheme="minorHAnsi" w:cs="Arial"/>
                <w:color w:val="000000"/>
                <w:sz w:val="19"/>
                <w:szCs w:val="22"/>
                <w:lang w:val="en-GB" w:eastAsia="en-AU" w:bidi="ar-SA"/>
              </w:rPr>
              <w:t>15 cattle doses</w:t>
            </w:r>
          </w:p>
        </w:tc>
        <w:tc>
          <w:tcPr>
            <w:tcW w:w="1248" w:type="pct"/>
            <w:tcBorders>
              <w:top w:val="single" w:sz="4" w:space="0" w:color="auto"/>
              <w:bottom w:val="single" w:sz="4" w:space="0" w:color="auto"/>
            </w:tcBorders>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Times New Roman" w:asciiTheme="minorHAnsi" w:hAnsiTheme="minorHAnsi" w:cs="Arial"/>
                <w:color w:val="000000"/>
                <w:sz w:val="19"/>
                <w:szCs w:val="22"/>
                <w:lang w:val="en-GB" w:eastAsia="en-AU" w:bidi="ar-SA"/>
              </w:rPr>
              <w:t>30 cattle doses</w:t>
            </w:r>
          </w:p>
        </w:tc>
      </w:tr>
      <w:tr w:rsidTr="00C64E4F">
        <w:tblPrEx>
          <w:tblW w:w="5000" w:type="pct"/>
          <w:tblInd w:w="0" w:type="dxa"/>
          <w:tblCellMar>
            <w:top w:w="0" w:type="dxa"/>
            <w:left w:w="108" w:type="dxa"/>
            <w:bottom w:w="0" w:type="dxa"/>
            <w:right w:w="108" w:type="dxa"/>
          </w:tblCellMar>
          <w:tblLook w:val="01E0"/>
        </w:tblPrEx>
        <w:trPr>
          <w:trHeight w:val="327"/>
        </w:trPr>
        <w:tc>
          <w:tcPr>
            <w:tcW w:w="1017" w:type="pct"/>
            <w:vMerge/>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p>
        </w:tc>
        <w:tc>
          <w:tcPr>
            <w:tcW w:w="1485" w:type="pct"/>
            <w:tcBorders>
              <w:top w:val="single" w:sz="4" w:space="0" w:color="auto"/>
              <w:bottom w:val="single" w:sz="4" w:space="0" w:color="auto"/>
            </w:tcBorders>
            <w:shd w:val="clear" w:color="auto" w:fill="auto"/>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Times New Roman" w:asciiTheme="minorHAnsi" w:hAnsiTheme="minorHAnsi" w:cs="Arial"/>
                <w:color w:val="000000"/>
                <w:sz w:val="19"/>
                <w:szCs w:val="22"/>
                <w:lang w:val="en-GB" w:eastAsia="en-AU" w:bidi="ar-SA"/>
              </w:rPr>
              <w:t>Flunixin or equivalent</w:t>
            </w:r>
          </w:p>
        </w:tc>
        <w:tc>
          <w:tcPr>
            <w:tcW w:w="1250" w:type="pct"/>
            <w:tcBorders>
              <w:top w:val="single" w:sz="4" w:space="0" w:color="auto"/>
              <w:bottom w:val="single" w:sz="4" w:space="0" w:color="auto"/>
            </w:tcBorders>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Times New Roman" w:asciiTheme="minorHAnsi" w:hAnsiTheme="minorHAnsi" w:cs="Arial"/>
                <w:color w:val="000000"/>
                <w:sz w:val="19"/>
                <w:szCs w:val="22"/>
                <w:lang w:val="en-GB" w:eastAsia="en-AU" w:bidi="ar-SA"/>
              </w:rPr>
              <w:t>15 cattle doses</w:t>
            </w:r>
          </w:p>
        </w:tc>
        <w:tc>
          <w:tcPr>
            <w:tcW w:w="1248" w:type="pct"/>
            <w:tcBorders>
              <w:top w:val="single" w:sz="4" w:space="0" w:color="auto"/>
              <w:bottom w:val="single" w:sz="4" w:space="0" w:color="auto"/>
            </w:tcBorders>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Times New Roman" w:asciiTheme="minorHAnsi" w:hAnsiTheme="minorHAnsi" w:cs="Arial"/>
                <w:color w:val="000000"/>
                <w:sz w:val="19"/>
                <w:szCs w:val="22"/>
                <w:lang w:val="en-GB" w:eastAsia="en-AU" w:bidi="ar-SA"/>
              </w:rPr>
              <w:t>30 cattle doses</w:t>
            </w:r>
          </w:p>
        </w:tc>
      </w:tr>
      <w:tr w:rsidTr="00C64E4F">
        <w:tblPrEx>
          <w:tblW w:w="5000" w:type="pct"/>
          <w:tblInd w:w="0" w:type="dxa"/>
          <w:tblCellMar>
            <w:top w:w="0" w:type="dxa"/>
            <w:left w:w="108" w:type="dxa"/>
            <w:bottom w:w="0" w:type="dxa"/>
            <w:right w:w="108" w:type="dxa"/>
          </w:tblCellMar>
          <w:tblLook w:val="01E0"/>
        </w:tblPrEx>
        <w:trPr>
          <w:trHeight w:val="327"/>
        </w:trPr>
        <w:tc>
          <w:tcPr>
            <w:tcW w:w="1017" w:type="pct"/>
            <w:vMerge/>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p>
        </w:tc>
        <w:tc>
          <w:tcPr>
            <w:tcW w:w="1485" w:type="pct"/>
            <w:tcBorders>
              <w:top w:val="single" w:sz="4" w:space="0" w:color="auto"/>
              <w:bottom w:val="single" w:sz="4" w:space="0" w:color="auto"/>
            </w:tcBorders>
            <w:shd w:val="clear" w:color="auto" w:fill="auto"/>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Times New Roman" w:asciiTheme="minorHAnsi" w:hAnsiTheme="minorHAnsi" w:cs="Arial"/>
                <w:color w:val="000000"/>
                <w:sz w:val="19"/>
                <w:szCs w:val="22"/>
                <w:lang w:val="en-GB" w:eastAsia="en-AU" w:bidi="ar-SA"/>
              </w:rPr>
              <w:t>Topical wound treatment</w:t>
            </w:r>
          </w:p>
        </w:tc>
        <w:tc>
          <w:tcPr>
            <w:tcW w:w="1250" w:type="pct"/>
            <w:tcBorders>
              <w:top w:val="single" w:sz="4" w:space="0" w:color="auto"/>
              <w:bottom w:val="single" w:sz="4" w:space="0" w:color="auto"/>
            </w:tcBorders>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Times New Roman" w:asciiTheme="minorHAnsi" w:hAnsiTheme="minorHAnsi" w:cs="Arial"/>
                <w:color w:val="000000"/>
                <w:sz w:val="19"/>
                <w:szCs w:val="22"/>
                <w:lang w:val="en-GB" w:eastAsia="en-AU" w:bidi="ar-SA"/>
              </w:rPr>
              <w:t>Sufficient to treat 10 minor wounds</w:t>
            </w:r>
          </w:p>
        </w:tc>
        <w:tc>
          <w:tcPr>
            <w:tcW w:w="1248" w:type="pct"/>
            <w:tcBorders>
              <w:top w:val="single" w:sz="4" w:space="0" w:color="auto"/>
              <w:bottom w:val="single" w:sz="4" w:space="0" w:color="auto"/>
            </w:tcBorders>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Times New Roman" w:asciiTheme="minorHAnsi" w:hAnsiTheme="minorHAnsi" w:cs="Arial"/>
                <w:color w:val="000000"/>
                <w:sz w:val="19"/>
                <w:szCs w:val="22"/>
                <w:lang w:val="en-GB" w:eastAsia="en-AU" w:bidi="ar-SA"/>
              </w:rPr>
              <w:t>Sufficient to treat 20 minor wounds</w:t>
            </w:r>
          </w:p>
        </w:tc>
      </w:tr>
      <w:tr w:rsidTr="00C64E4F">
        <w:tblPrEx>
          <w:tblW w:w="5000" w:type="pct"/>
          <w:tblInd w:w="0" w:type="dxa"/>
          <w:tblCellMar>
            <w:top w:w="0" w:type="dxa"/>
            <w:left w:w="108" w:type="dxa"/>
            <w:bottom w:w="0" w:type="dxa"/>
            <w:right w:w="108" w:type="dxa"/>
          </w:tblCellMar>
          <w:tblLook w:val="01E0"/>
        </w:tblPrEx>
        <w:trPr>
          <w:trHeight w:val="327"/>
        </w:trPr>
        <w:tc>
          <w:tcPr>
            <w:tcW w:w="1017" w:type="pct"/>
            <w:vMerge/>
            <w:tcBorders>
              <w:bottom w:val="single" w:sz="4" w:space="0" w:color="auto"/>
            </w:tcBorders>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p>
        </w:tc>
        <w:tc>
          <w:tcPr>
            <w:tcW w:w="1485" w:type="pct"/>
            <w:tcBorders>
              <w:top w:val="single" w:sz="4" w:space="0" w:color="auto"/>
              <w:bottom w:val="single" w:sz="4" w:space="0" w:color="auto"/>
            </w:tcBorders>
            <w:shd w:val="clear" w:color="auto" w:fill="auto"/>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Times New Roman" w:asciiTheme="minorHAnsi" w:hAnsiTheme="minorHAnsi" w:cs="Arial"/>
                <w:color w:val="000000"/>
                <w:sz w:val="19"/>
                <w:szCs w:val="22"/>
                <w:lang w:val="en-GB" w:eastAsia="en-AU" w:bidi="ar-SA"/>
              </w:rPr>
              <w:t xml:space="preserve">Pink eye </w:t>
            </w:r>
            <w:r w:rsidRPr="00443A8E">
              <w:rPr>
                <w:rFonts w:eastAsia="Times New Roman" w:asciiTheme="minorHAnsi" w:hAnsiTheme="minorHAnsi" w:cs="Arial"/>
                <w:color w:val="000000"/>
                <w:sz w:val="19"/>
                <w:szCs w:val="22"/>
                <w:lang w:val="en-GB" w:eastAsia="en-AU" w:bidi="ar-SA"/>
              </w:rPr>
              <w:t>treatment</w:t>
            </w:r>
          </w:p>
        </w:tc>
        <w:tc>
          <w:tcPr>
            <w:tcW w:w="1250" w:type="pct"/>
            <w:tcBorders>
              <w:top w:val="single" w:sz="4" w:space="0" w:color="auto"/>
              <w:bottom w:val="single" w:sz="4" w:space="0" w:color="auto"/>
            </w:tcBorders>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Times New Roman" w:asciiTheme="minorHAnsi" w:hAnsiTheme="minorHAnsi" w:cs="Arial"/>
                <w:color w:val="000000"/>
                <w:sz w:val="19"/>
                <w:szCs w:val="22"/>
                <w:lang w:val="en-GB" w:eastAsia="en-AU" w:bidi="ar-SA"/>
              </w:rPr>
              <w:t>10 tubes</w:t>
            </w:r>
          </w:p>
        </w:tc>
        <w:tc>
          <w:tcPr>
            <w:tcW w:w="1248" w:type="pct"/>
            <w:tcBorders>
              <w:top w:val="single" w:sz="4" w:space="0" w:color="auto"/>
              <w:bottom w:val="single" w:sz="4" w:space="0" w:color="auto"/>
            </w:tcBorders>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Times New Roman" w:asciiTheme="minorHAnsi" w:hAnsiTheme="minorHAnsi" w:cs="Arial"/>
                <w:color w:val="000000"/>
                <w:sz w:val="19"/>
                <w:szCs w:val="22"/>
                <w:lang w:val="en-GB" w:eastAsia="en-AU" w:bidi="ar-SA"/>
              </w:rPr>
              <w:t>1 box of 20 tubes</w:t>
            </w:r>
          </w:p>
        </w:tc>
      </w:tr>
      <w:tr w:rsidTr="00C64E4F">
        <w:tblPrEx>
          <w:tblW w:w="5000" w:type="pct"/>
          <w:tblInd w:w="0" w:type="dxa"/>
          <w:tblCellMar>
            <w:top w:w="0" w:type="dxa"/>
            <w:left w:w="108" w:type="dxa"/>
            <w:bottom w:w="0" w:type="dxa"/>
            <w:right w:w="108" w:type="dxa"/>
          </w:tblCellMar>
          <w:tblLook w:val="01E0"/>
        </w:tblPrEx>
        <w:trPr>
          <w:trHeight w:val="327"/>
        </w:trPr>
        <w:tc>
          <w:tcPr>
            <w:tcW w:w="1017" w:type="pct"/>
            <w:tcBorders>
              <w:top w:val="single" w:sz="4" w:space="0" w:color="auto"/>
              <w:bottom w:val="single" w:sz="4" w:space="0" w:color="auto"/>
            </w:tcBorders>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Times New Roman" w:asciiTheme="minorHAnsi" w:hAnsiTheme="minorHAnsi" w:cs="Arial"/>
                <w:color w:val="000000"/>
                <w:sz w:val="19"/>
                <w:szCs w:val="22"/>
                <w:lang w:val="en-GB" w:eastAsia="en-AU" w:bidi="ar-SA"/>
              </w:rPr>
              <w:t>Sedative</w:t>
            </w:r>
          </w:p>
        </w:tc>
        <w:tc>
          <w:tcPr>
            <w:tcW w:w="1485" w:type="pct"/>
            <w:tcBorders>
              <w:top w:val="single" w:sz="4" w:space="0" w:color="auto"/>
              <w:bottom w:val="single" w:sz="4" w:space="0" w:color="auto"/>
            </w:tcBorders>
            <w:shd w:val="clear" w:color="auto" w:fill="auto"/>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Times New Roman" w:asciiTheme="minorHAnsi" w:hAnsiTheme="minorHAnsi" w:cs="Arial"/>
                <w:color w:val="000000"/>
                <w:sz w:val="19"/>
                <w:szCs w:val="22"/>
                <w:lang w:val="en-GB" w:eastAsia="en-AU" w:bidi="ar-SA"/>
              </w:rPr>
              <w:t>Xylazine</w:t>
            </w:r>
          </w:p>
        </w:tc>
        <w:tc>
          <w:tcPr>
            <w:tcW w:w="1250" w:type="pct"/>
            <w:tcBorders>
              <w:top w:val="single" w:sz="4" w:space="0" w:color="auto"/>
              <w:bottom w:val="single" w:sz="4" w:space="0" w:color="auto"/>
            </w:tcBorders>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Times New Roman" w:asciiTheme="minorHAnsi" w:hAnsiTheme="minorHAnsi" w:cs="Arial"/>
                <w:color w:val="000000"/>
                <w:sz w:val="19"/>
                <w:szCs w:val="22"/>
                <w:lang w:val="en-GB" w:eastAsia="en-AU" w:bidi="ar-SA"/>
              </w:rPr>
              <w:t>5 cattle doses</w:t>
            </w:r>
          </w:p>
        </w:tc>
        <w:tc>
          <w:tcPr>
            <w:tcW w:w="1248" w:type="pct"/>
            <w:tcBorders>
              <w:top w:val="single" w:sz="4" w:space="0" w:color="auto"/>
              <w:bottom w:val="single" w:sz="4" w:space="0" w:color="auto"/>
            </w:tcBorders>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Times New Roman" w:asciiTheme="minorHAnsi" w:hAnsiTheme="minorHAnsi" w:cs="Arial"/>
                <w:color w:val="000000"/>
                <w:sz w:val="19"/>
                <w:szCs w:val="22"/>
                <w:lang w:val="en-GB" w:eastAsia="en-AU" w:bidi="ar-SA"/>
              </w:rPr>
              <w:t>10 cattle doses</w:t>
            </w:r>
          </w:p>
        </w:tc>
      </w:tr>
      <w:tr w:rsidTr="00C64E4F">
        <w:tblPrEx>
          <w:tblW w:w="5000" w:type="pct"/>
          <w:tblInd w:w="0" w:type="dxa"/>
          <w:tblCellMar>
            <w:top w:w="0" w:type="dxa"/>
            <w:left w:w="108" w:type="dxa"/>
            <w:bottom w:w="0" w:type="dxa"/>
            <w:right w:w="108" w:type="dxa"/>
          </w:tblCellMar>
          <w:tblLook w:val="01E0"/>
        </w:tblPrEx>
        <w:trPr>
          <w:trHeight w:val="327"/>
        </w:trPr>
        <w:tc>
          <w:tcPr>
            <w:tcW w:w="1017" w:type="pct"/>
            <w:tcBorders>
              <w:top w:val="single" w:sz="4" w:space="0" w:color="auto"/>
              <w:bottom w:val="nil"/>
            </w:tcBorders>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Times New Roman" w:asciiTheme="minorHAnsi" w:hAnsiTheme="minorHAnsi" w:cs="Arial"/>
                <w:color w:val="000000"/>
                <w:sz w:val="19"/>
                <w:szCs w:val="22"/>
                <w:lang w:val="en-GB" w:eastAsia="en-AU" w:bidi="ar-SA"/>
              </w:rPr>
              <w:t>Other equipment</w:t>
            </w:r>
          </w:p>
        </w:tc>
        <w:tc>
          <w:tcPr>
            <w:tcW w:w="1485" w:type="pct"/>
            <w:tcBorders>
              <w:top w:val="single" w:sz="4" w:space="0" w:color="auto"/>
              <w:bottom w:val="single" w:sz="4" w:space="0" w:color="auto"/>
            </w:tcBorders>
            <w:shd w:val="clear" w:color="auto" w:fill="auto"/>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Times New Roman" w:asciiTheme="minorHAnsi" w:hAnsiTheme="minorHAnsi" w:cs="Arial"/>
                <w:color w:val="000000"/>
                <w:sz w:val="19"/>
                <w:szCs w:val="22"/>
                <w:lang w:val="en-GB" w:eastAsia="en-AU" w:bidi="ar-SA"/>
              </w:rPr>
              <w:t>Thermometers</w:t>
            </w:r>
          </w:p>
        </w:tc>
        <w:tc>
          <w:tcPr>
            <w:tcW w:w="1250" w:type="pct"/>
            <w:tcBorders>
              <w:top w:val="single" w:sz="4" w:space="0" w:color="auto"/>
              <w:bottom w:val="single" w:sz="4" w:space="0" w:color="auto"/>
            </w:tcBorders>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Times New Roman" w:asciiTheme="minorHAnsi" w:hAnsiTheme="minorHAnsi" w:cs="Arial"/>
                <w:color w:val="000000"/>
                <w:sz w:val="19"/>
                <w:szCs w:val="22"/>
                <w:lang w:val="en-GB" w:eastAsia="en-AU" w:bidi="ar-SA"/>
              </w:rPr>
              <w:t>3 per vessel</w:t>
            </w:r>
          </w:p>
        </w:tc>
        <w:tc>
          <w:tcPr>
            <w:tcW w:w="1248" w:type="pct"/>
            <w:tcBorders>
              <w:top w:val="single" w:sz="4" w:space="0" w:color="auto"/>
              <w:bottom w:val="single" w:sz="4" w:space="0" w:color="auto"/>
            </w:tcBorders>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Times New Roman" w:asciiTheme="minorHAnsi" w:hAnsiTheme="minorHAnsi" w:cs="Arial"/>
                <w:color w:val="000000"/>
                <w:sz w:val="19"/>
                <w:szCs w:val="22"/>
                <w:lang w:val="en-GB" w:eastAsia="en-AU" w:bidi="ar-SA"/>
              </w:rPr>
              <w:t>3 per vessel</w:t>
            </w:r>
          </w:p>
        </w:tc>
      </w:tr>
      <w:tr w:rsidTr="00C64E4F">
        <w:tblPrEx>
          <w:tblW w:w="5000" w:type="pct"/>
          <w:tblInd w:w="0" w:type="dxa"/>
          <w:tblCellMar>
            <w:top w:w="0" w:type="dxa"/>
            <w:left w:w="108" w:type="dxa"/>
            <w:bottom w:w="0" w:type="dxa"/>
            <w:right w:w="108" w:type="dxa"/>
          </w:tblCellMar>
          <w:tblLook w:val="01E0"/>
        </w:tblPrEx>
        <w:trPr>
          <w:trHeight w:val="327"/>
        </w:trPr>
        <w:tc>
          <w:tcPr>
            <w:tcW w:w="1017" w:type="pct"/>
            <w:tcBorders>
              <w:top w:val="nil"/>
              <w:bottom w:val="nil"/>
            </w:tcBorders>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p>
        </w:tc>
        <w:tc>
          <w:tcPr>
            <w:tcW w:w="1485" w:type="pct"/>
            <w:tcBorders>
              <w:top w:val="single" w:sz="4" w:space="0" w:color="auto"/>
              <w:bottom w:val="single" w:sz="4" w:space="0" w:color="auto"/>
            </w:tcBorders>
            <w:shd w:val="clear" w:color="auto" w:fill="auto"/>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Times New Roman" w:asciiTheme="minorHAnsi" w:hAnsiTheme="minorHAnsi" w:cs="Arial"/>
                <w:color w:val="000000"/>
                <w:sz w:val="19"/>
                <w:szCs w:val="22"/>
                <w:lang w:val="en-GB" w:eastAsia="en-AU" w:bidi="ar-SA"/>
              </w:rPr>
              <w:t>Needles (18 gauge, 1 ½ inch) or equivalent</w:t>
            </w:r>
          </w:p>
        </w:tc>
        <w:tc>
          <w:tcPr>
            <w:tcW w:w="1250" w:type="pct"/>
            <w:tcBorders>
              <w:top w:val="single" w:sz="4" w:space="0" w:color="auto"/>
              <w:bottom w:val="single" w:sz="4" w:space="0" w:color="auto"/>
            </w:tcBorders>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Times New Roman" w:asciiTheme="minorHAnsi" w:hAnsiTheme="minorHAnsi" w:cs="Arial"/>
                <w:color w:val="000000"/>
                <w:sz w:val="19"/>
                <w:szCs w:val="22"/>
                <w:lang w:val="en-GB" w:eastAsia="en-AU" w:bidi="ar-SA"/>
              </w:rPr>
              <w:t>1 box of 100</w:t>
            </w:r>
          </w:p>
        </w:tc>
        <w:tc>
          <w:tcPr>
            <w:tcW w:w="1248" w:type="pct"/>
            <w:tcBorders>
              <w:top w:val="single" w:sz="4" w:space="0" w:color="auto"/>
              <w:bottom w:val="single" w:sz="4" w:space="0" w:color="auto"/>
            </w:tcBorders>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Times New Roman" w:asciiTheme="minorHAnsi" w:hAnsiTheme="minorHAnsi" w:cs="Arial"/>
                <w:color w:val="000000"/>
                <w:sz w:val="19"/>
                <w:szCs w:val="22"/>
                <w:lang w:val="en-GB" w:eastAsia="en-AU" w:bidi="ar-SA"/>
              </w:rPr>
              <w:t>1 box of 100</w:t>
            </w:r>
          </w:p>
        </w:tc>
      </w:tr>
      <w:tr w:rsidTr="00C64E4F">
        <w:tblPrEx>
          <w:tblW w:w="5000" w:type="pct"/>
          <w:tblInd w:w="0" w:type="dxa"/>
          <w:tblCellMar>
            <w:top w:w="0" w:type="dxa"/>
            <w:left w:w="108" w:type="dxa"/>
            <w:bottom w:w="0" w:type="dxa"/>
            <w:right w:w="108" w:type="dxa"/>
          </w:tblCellMar>
          <w:tblLook w:val="01E0"/>
        </w:tblPrEx>
        <w:trPr>
          <w:trHeight w:val="327"/>
        </w:trPr>
        <w:tc>
          <w:tcPr>
            <w:tcW w:w="1017" w:type="pct"/>
            <w:tcBorders>
              <w:top w:val="nil"/>
              <w:bottom w:val="nil"/>
            </w:tcBorders>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p>
        </w:tc>
        <w:tc>
          <w:tcPr>
            <w:tcW w:w="1485" w:type="pct"/>
            <w:tcBorders>
              <w:top w:val="single" w:sz="4" w:space="0" w:color="auto"/>
              <w:bottom w:val="single" w:sz="4" w:space="0" w:color="auto"/>
            </w:tcBorders>
            <w:shd w:val="clear" w:color="auto" w:fill="auto"/>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Times New Roman" w:asciiTheme="minorHAnsi" w:hAnsiTheme="minorHAnsi" w:cs="Arial"/>
                <w:color w:val="000000"/>
                <w:sz w:val="19"/>
                <w:szCs w:val="22"/>
                <w:lang w:val="en-GB" w:eastAsia="en-AU" w:bidi="ar-SA"/>
              </w:rPr>
              <w:t>Hypodermic syringes</w:t>
            </w:r>
          </w:p>
        </w:tc>
        <w:tc>
          <w:tcPr>
            <w:tcW w:w="1250" w:type="pct"/>
            <w:tcBorders>
              <w:top w:val="single" w:sz="4" w:space="0" w:color="auto"/>
            </w:tcBorders>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Times New Roman" w:asciiTheme="minorHAnsi" w:hAnsiTheme="minorHAnsi" w:cs="Arial"/>
                <w:color w:val="000000"/>
                <w:sz w:val="19"/>
                <w:szCs w:val="22"/>
                <w:lang w:val="en-GB" w:eastAsia="en-AU" w:bidi="ar-SA"/>
              </w:rPr>
              <w:t xml:space="preserve">40 x 20mL, </w:t>
            </w:r>
            <w:r w:rsidRPr="00443A8E">
              <w:rPr>
                <w:rFonts w:eastAsia="Times New Roman" w:asciiTheme="minorHAnsi" w:hAnsiTheme="minorHAnsi" w:cs="Arial"/>
                <w:color w:val="000000"/>
                <w:sz w:val="19"/>
                <w:szCs w:val="22"/>
                <w:lang w:val="en-GB" w:eastAsia="en-AU" w:bidi="ar-SA"/>
              </w:rPr>
              <w:t>10 x 5mL</w:t>
            </w:r>
          </w:p>
        </w:tc>
        <w:tc>
          <w:tcPr>
            <w:tcW w:w="1248" w:type="pct"/>
            <w:tcBorders>
              <w:top w:val="single" w:sz="4" w:space="0" w:color="auto"/>
            </w:tcBorders>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Times New Roman" w:asciiTheme="minorHAnsi" w:hAnsiTheme="minorHAnsi" w:cs="Arial"/>
                <w:color w:val="000000"/>
                <w:sz w:val="19"/>
                <w:szCs w:val="22"/>
                <w:lang w:val="en-GB" w:eastAsia="en-AU" w:bidi="ar-SA"/>
              </w:rPr>
              <w:t>40 x 20mL, 10 x 5mL</w:t>
            </w:r>
          </w:p>
        </w:tc>
      </w:tr>
      <w:tr w:rsidTr="00C64E4F">
        <w:tblPrEx>
          <w:tblW w:w="5000" w:type="pct"/>
          <w:tblInd w:w="0" w:type="dxa"/>
          <w:tblCellMar>
            <w:top w:w="0" w:type="dxa"/>
            <w:left w:w="108" w:type="dxa"/>
            <w:bottom w:w="0" w:type="dxa"/>
            <w:right w:w="108" w:type="dxa"/>
          </w:tblCellMar>
          <w:tblLook w:val="01E0"/>
        </w:tblPrEx>
        <w:trPr>
          <w:trHeight w:val="327"/>
        </w:trPr>
        <w:tc>
          <w:tcPr>
            <w:tcW w:w="1017" w:type="pct"/>
            <w:tcBorders>
              <w:top w:val="nil"/>
            </w:tcBorders>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p>
        </w:tc>
        <w:tc>
          <w:tcPr>
            <w:tcW w:w="1485" w:type="pct"/>
            <w:vMerge w:val="restart"/>
            <w:tcBorders>
              <w:top w:val="single" w:sz="4" w:space="0" w:color="auto"/>
            </w:tcBorders>
            <w:shd w:val="clear" w:color="auto" w:fill="auto"/>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Times New Roman" w:asciiTheme="minorHAnsi" w:hAnsiTheme="minorHAnsi" w:cs="Arial"/>
                <w:color w:val="000000"/>
                <w:sz w:val="19"/>
                <w:szCs w:val="22"/>
                <w:lang w:val="en-GB" w:eastAsia="en-AU" w:bidi="ar-SA"/>
              </w:rPr>
              <w:t>Restraint equipment</w:t>
            </w:r>
          </w:p>
        </w:tc>
        <w:tc>
          <w:tcPr>
            <w:tcW w:w="1250" w:type="pct"/>
            <w:tcBorders>
              <w:top w:val="single" w:sz="4" w:space="0" w:color="auto"/>
              <w:bottom w:val="single" w:sz="4" w:space="0" w:color="auto"/>
            </w:tcBorders>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Times New Roman" w:asciiTheme="minorHAnsi" w:hAnsiTheme="minorHAnsi" w:cs="Arial"/>
                <w:color w:val="000000"/>
                <w:sz w:val="19"/>
                <w:szCs w:val="22"/>
                <w:lang w:val="en-GB" w:eastAsia="en-AU" w:bidi="ar-SA"/>
              </w:rPr>
              <w:t>Adjustable head bale (1 per vessel) should be included</w:t>
            </w:r>
          </w:p>
        </w:tc>
        <w:tc>
          <w:tcPr>
            <w:tcW w:w="1248" w:type="pct"/>
            <w:tcBorders>
              <w:top w:val="single" w:sz="4" w:space="0" w:color="auto"/>
              <w:bottom w:val="single" w:sz="4" w:space="0" w:color="auto"/>
            </w:tcBorders>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Times New Roman" w:asciiTheme="minorHAnsi" w:hAnsiTheme="minorHAnsi" w:cs="Arial"/>
                <w:color w:val="000000"/>
                <w:sz w:val="19"/>
                <w:szCs w:val="22"/>
                <w:lang w:val="en-GB" w:eastAsia="en-AU" w:bidi="ar-SA"/>
              </w:rPr>
              <w:t>Adjustable head bale (1 per vessel) should be included</w:t>
            </w:r>
          </w:p>
        </w:tc>
      </w:tr>
      <w:tr w:rsidTr="00C64E4F">
        <w:tblPrEx>
          <w:tblW w:w="5000" w:type="pct"/>
          <w:tblInd w:w="0" w:type="dxa"/>
          <w:tblCellMar>
            <w:top w:w="0" w:type="dxa"/>
            <w:left w:w="108" w:type="dxa"/>
            <w:bottom w:w="0" w:type="dxa"/>
            <w:right w:w="108" w:type="dxa"/>
          </w:tblCellMar>
          <w:tblLook w:val="01E0"/>
        </w:tblPrEx>
        <w:trPr>
          <w:trHeight w:val="327"/>
        </w:trPr>
        <w:tc>
          <w:tcPr>
            <w:tcW w:w="1017" w:type="pct"/>
            <w:tcBorders>
              <w:bottom w:val="nil"/>
            </w:tcBorders>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p>
        </w:tc>
        <w:tc>
          <w:tcPr>
            <w:tcW w:w="1485" w:type="pct"/>
            <w:vMerge/>
            <w:shd w:val="clear" w:color="auto" w:fill="auto"/>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p>
        </w:tc>
        <w:tc>
          <w:tcPr>
            <w:tcW w:w="1250" w:type="pct"/>
            <w:tcBorders>
              <w:top w:val="single" w:sz="4" w:space="0" w:color="auto"/>
              <w:bottom w:val="single" w:sz="4" w:space="0" w:color="auto"/>
            </w:tcBorders>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Times New Roman" w:asciiTheme="minorHAnsi" w:hAnsiTheme="minorHAnsi" w:cs="Arial"/>
                <w:color w:val="000000"/>
                <w:sz w:val="19"/>
                <w:szCs w:val="22"/>
                <w:lang w:val="en-GB" w:eastAsia="en-AU" w:bidi="ar-SA"/>
              </w:rPr>
              <w:t>Rope halter (1 per vessel)</w:t>
            </w:r>
          </w:p>
        </w:tc>
        <w:tc>
          <w:tcPr>
            <w:tcW w:w="1248" w:type="pct"/>
            <w:tcBorders>
              <w:top w:val="single" w:sz="4" w:space="0" w:color="auto"/>
              <w:bottom w:val="single" w:sz="4" w:space="0" w:color="auto"/>
            </w:tcBorders>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Times New Roman" w:asciiTheme="minorHAnsi" w:hAnsiTheme="minorHAnsi" w:cs="Arial"/>
                <w:color w:val="000000"/>
                <w:sz w:val="19"/>
                <w:szCs w:val="22"/>
                <w:lang w:val="en-GB" w:eastAsia="en-AU" w:bidi="ar-SA"/>
              </w:rPr>
              <w:t>Rope halter (1 per vessel)</w:t>
            </w:r>
          </w:p>
        </w:tc>
      </w:tr>
      <w:tr w:rsidTr="00C64E4F">
        <w:tblPrEx>
          <w:tblW w:w="5000" w:type="pct"/>
          <w:tblInd w:w="0" w:type="dxa"/>
          <w:tblCellMar>
            <w:top w:w="0" w:type="dxa"/>
            <w:left w:w="108" w:type="dxa"/>
            <w:bottom w:w="0" w:type="dxa"/>
            <w:right w:w="108" w:type="dxa"/>
          </w:tblCellMar>
          <w:tblLook w:val="01E0"/>
        </w:tblPrEx>
        <w:trPr>
          <w:trHeight w:val="327"/>
        </w:trPr>
        <w:tc>
          <w:tcPr>
            <w:tcW w:w="1017" w:type="pct"/>
            <w:tcBorders>
              <w:top w:val="nil"/>
              <w:bottom w:val="nil"/>
            </w:tcBorders>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p>
        </w:tc>
        <w:tc>
          <w:tcPr>
            <w:tcW w:w="1485" w:type="pct"/>
            <w:vMerge/>
            <w:tcBorders>
              <w:bottom w:val="single" w:sz="4" w:space="0" w:color="auto"/>
            </w:tcBorders>
            <w:shd w:val="clear" w:color="auto" w:fill="auto"/>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p>
        </w:tc>
        <w:tc>
          <w:tcPr>
            <w:tcW w:w="1250" w:type="pct"/>
            <w:tcBorders>
              <w:top w:val="single" w:sz="4" w:space="0" w:color="auto"/>
              <w:bottom w:val="single" w:sz="4" w:space="0" w:color="auto"/>
            </w:tcBorders>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Times New Roman" w:asciiTheme="minorHAnsi" w:hAnsiTheme="minorHAnsi" w:cs="Arial"/>
                <w:color w:val="000000"/>
                <w:sz w:val="19"/>
                <w:szCs w:val="22"/>
                <w:lang w:val="en-GB" w:eastAsia="en-AU" w:bidi="ar-SA"/>
              </w:rPr>
              <w:t xml:space="preserve">Nose grip pliers (1 pair per </w:t>
            </w:r>
            <w:r w:rsidRPr="00443A8E">
              <w:rPr>
                <w:rFonts w:eastAsia="Times New Roman" w:asciiTheme="minorHAnsi" w:hAnsiTheme="minorHAnsi" w:cs="Arial"/>
                <w:color w:val="000000"/>
                <w:sz w:val="19"/>
                <w:szCs w:val="22"/>
                <w:lang w:val="en-GB" w:eastAsia="en-AU" w:bidi="ar-SA"/>
              </w:rPr>
              <w:t>vessel)</w:t>
            </w:r>
          </w:p>
        </w:tc>
        <w:tc>
          <w:tcPr>
            <w:tcW w:w="1248" w:type="pct"/>
            <w:tcBorders>
              <w:top w:val="single" w:sz="4" w:space="0" w:color="auto"/>
              <w:bottom w:val="single" w:sz="4" w:space="0" w:color="auto"/>
            </w:tcBorders>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Times New Roman" w:asciiTheme="minorHAnsi" w:hAnsiTheme="minorHAnsi" w:cs="Arial"/>
                <w:color w:val="000000"/>
                <w:sz w:val="19"/>
                <w:szCs w:val="22"/>
                <w:lang w:val="en-GB" w:eastAsia="en-AU" w:bidi="ar-SA"/>
              </w:rPr>
              <w:t>Nose grip pliers (1 pair per vessel)</w:t>
            </w:r>
          </w:p>
        </w:tc>
      </w:tr>
      <w:tr w:rsidTr="00C64E4F">
        <w:tblPrEx>
          <w:tblW w:w="5000" w:type="pct"/>
          <w:tblInd w:w="0" w:type="dxa"/>
          <w:tblCellMar>
            <w:top w:w="0" w:type="dxa"/>
            <w:left w:w="108" w:type="dxa"/>
            <w:bottom w:w="0" w:type="dxa"/>
            <w:right w:w="108" w:type="dxa"/>
          </w:tblCellMar>
          <w:tblLook w:val="01E0"/>
        </w:tblPrEx>
        <w:trPr>
          <w:trHeight w:val="327"/>
        </w:trPr>
        <w:tc>
          <w:tcPr>
            <w:tcW w:w="1017" w:type="pct"/>
            <w:tcBorders>
              <w:top w:val="nil"/>
              <w:bottom w:val="nil"/>
            </w:tcBorders>
          </w:tcPr>
          <w:p w:rsidR="000D35BF" w:rsidRPr="00443A8E" w:rsidP="00C64E4F">
            <w:pPr>
              <w:pStyle w:val="TableText"/>
              <w:spacing w:before="60" w:after="60"/>
              <w:rPr>
                <w:rStyle w:val="DefaultParagraphFont"/>
                <w:rFonts w:eastAsia="Times New Roman" w:asciiTheme="minorHAnsi" w:hAnsiTheme="minorHAnsi" w:cs="Arial"/>
                <w:color w:val="000000"/>
                <w:sz w:val="18"/>
                <w:szCs w:val="22"/>
                <w:lang w:val="en-GB" w:eastAsia="en-AU" w:bidi="ar-SA"/>
              </w:rPr>
            </w:pPr>
          </w:p>
        </w:tc>
        <w:tc>
          <w:tcPr>
            <w:tcW w:w="1485" w:type="pct"/>
            <w:tcBorders>
              <w:top w:val="single" w:sz="4" w:space="0" w:color="auto"/>
              <w:bottom w:val="single" w:sz="4" w:space="0" w:color="auto"/>
            </w:tcBorders>
            <w:shd w:val="clear" w:color="auto" w:fill="auto"/>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Times New Roman" w:asciiTheme="minorHAnsi" w:hAnsiTheme="minorHAnsi" w:cs="Arial"/>
                <w:color w:val="000000"/>
                <w:sz w:val="19"/>
                <w:szCs w:val="22"/>
                <w:lang w:val="en-GB" w:eastAsia="en-AU" w:bidi="ar-SA"/>
              </w:rPr>
              <w:t>Post-mortem kit</w:t>
            </w:r>
          </w:p>
        </w:tc>
        <w:tc>
          <w:tcPr>
            <w:tcW w:w="1250" w:type="pct"/>
            <w:tcBorders>
              <w:top w:val="single" w:sz="4" w:space="0" w:color="auto"/>
              <w:bottom w:val="single" w:sz="4" w:space="0" w:color="auto"/>
            </w:tcBorders>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Times New Roman" w:asciiTheme="minorHAnsi" w:hAnsiTheme="minorHAnsi" w:cs="Arial"/>
                <w:color w:val="000000"/>
                <w:sz w:val="19"/>
                <w:szCs w:val="22"/>
                <w:lang w:val="en-GB" w:eastAsia="en-AU" w:bidi="ar-SA"/>
              </w:rPr>
              <w:t>2 post-mortem knives plus steel and sharpening stone per vessel</w:t>
            </w:r>
          </w:p>
        </w:tc>
        <w:tc>
          <w:tcPr>
            <w:tcW w:w="1248" w:type="pct"/>
            <w:tcBorders>
              <w:top w:val="single" w:sz="4" w:space="0" w:color="auto"/>
              <w:bottom w:val="single" w:sz="4" w:space="0" w:color="auto"/>
            </w:tcBorders>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Times New Roman" w:asciiTheme="minorHAnsi" w:hAnsiTheme="minorHAnsi" w:cs="Arial"/>
                <w:color w:val="000000"/>
                <w:sz w:val="19"/>
                <w:szCs w:val="22"/>
                <w:lang w:val="en-GB" w:eastAsia="en-AU" w:bidi="ar-SA"/>
              </w:rPr>
              <w:t>2 post-mortem knives plus steel and sharpening stone per vessel</w:t>
            </w:r>
          </w:p>
        </w:tc>
      </w:tr>
      <w:tr w:rsidTr="00C64E4F">
        <w:tblPrEx>
          <w:tblW w:w="5000" w:type="pct"/>
          <w:tblInd w:w="0" w:type="dxa"/>
          <w:tblCellMar>
            <w:top w:w="0" w:type="dxa"/>
            <w:left w:w="108" w:type="dxa"/>
            <w:bottom w:w="0" w:type="dxa"/>
            <w:right w:w="108" w:type="dxa"/>
          </w:tblCellMar>
          <w:tblLook w:val="01E0"/>
        </w:tblPrEx>
        <w:trPr>
          <w:trHeight w:val="327"/>
        </w:trPr>
        <w:tc>
          <w:tcPr>
            <w:tcW w:w="1017" w:type="pct"/>
            <w:tcBorders>
              <w:top w:val="nil"/>
              <w:bottom w:val="nil"/>
            </w:tcBorders>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p>
        </w:tc>
        <w:tc>
          <w:tcPr>
            <w:tcW w:w="1485" w:type="pct"/>
            <w:tcBorders>
              <w:top w:val="single" w:sz="4" w:space="0" w:color="auto"/>
              <w:bottom w:val="single" w:sz="4" w:space="0" w:color="auto"/>
            </w:tcBorders>
            <w:shd w:val="clear" w:color="auto" w:fill="auto"/>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Times New Roman" w:asciiTheme="minorHAnsi" w:hAnsiTheme="minorHAnsi" w:cs="Arial"/>
                <w:color w:val="000000"/>
                <w:sz w:val="19"/>
                <w:szCs w:val="22"/>
                <w:lang w:val="en-GB" w:eastAsia="en-AU" w:bidi="ar-SA"/>
              </w:rPr>
              <w:t>Remotely triggered syringe device</w:t>
            </w:r>
          </w:p>
        </w:tc>
        <w:tc>
          <w:tcPr>
            <w:tcW w:w="1250" w:type="pct"/>
            <w:tcBorders>
              <w:top w:val="single" w:sz="4" w:space="0" w:color="auto"/>
              <w:bottom w:val="single" w:sz="4" w:space="0" w:color="auto"/>
            </w:tcBorders>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Times New Roman" w:asciiTheme="minorHAnsi" w:hAnsiTheme="minorHAnsi" w:cs="Arial"/>
                <w:color w:val="000000"/>
                <w:sz w:val="19"/>
                <w:szCs w:val="22"/>
                <w:lang w:val="en-GB" w:eastAsia="en-AU" w:bidi="ar-SA"/>
              </w:rPr>
              <w:t xml:space="preserve">1 syringe plus spare </w:t>
            </w:r>
            <w:r w:rsidRPr="00443A8E">
              <w:rPr>
                <w:rFonts w:eastAsia="Times New Roman" w:asciiTheme="minorHAnsi" w:hAnsiTheme="minorHAnsi" w:cs="Arial"/>
                <w:color w:val="000000"/>
                <w:sz w:val="19"/>
                <w:szCs w:val="22"/>
                <w:lang w:val="en-GB" w:eastAsia="en-AU" w:bidi="ar-SA"/>
              </w:rPr>
              <w:t>parts per vessel, plus 10 spare needles per 1,000 animals</w:t>
            </w:r>
          </w:p>
        </w:tc>
        <w:tc>
          <w:tcPr>
            <w:tcW w:w="1248" w:type="pct"/>
            <w:tcBorders>
              <w:top w:val="single" w:sz="4" w:space="0" w:color="auto"/>
              <w:bottom w:val="single" w:sz="4" w:space="0" w:color="auto"/>
            </w:tcBorders>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Times New Roman" w:asciiTheme="minorHAnsi" w:hAnsiTheme="minorHAnsi" w:cs="Arial"/>
                <w:color w:val="000000"/>
                <w:sz w:val="19"/>
                <w:szCs w:val="22"/>
                <w:lang w:val="en-GB" w:eastAsia="en-AU" w:bidi="ar-SA"/>
              </w:rPr>
              <w:t>1 syringe plus spare parts per vessel, plus 10 spare needles per 1,000 animals</w:t>
            </w:r>
          </w:p>
        </w:tc>
      </w:tr>
      <w:tr w:rsidTr="00C64E4F">
        <w:tblPrEx>
          <w:tblW w:w="5000" w:type="pct"/>
          <w:tblInd w:w="0" w:type="dxa"/>
          <w:tblCellMar>
            <w:top w:w="0" w:type="dxa"/>
            <w:left w:w="108" w:type="dxa"/>
            <w:bottom w:w="0" w:type="dxa"/>
            <w:right w:w="108" w:type="dxa"/>
          </w:tblCellMar>
          <w:tblLook w:val="01E0"/>
        </w:tblPrEx>
        <w:trPr>
          <w:trHeight w:val="327"/>
        </w:trPr>
        <w:tc>
          <w:tcPr>
            <w:tcW w:w="1017" w:type="pct"/>
            <w:tcBorders>
              <w:top w:val="nil"/>
              <w:bottom w:val="single" w:sz="4" w:space="0" w:color="auto"/>
            </w:tcBorders>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p>
        </w:tc>
        <w:tc>
          <w:tcPr>
            <w:tcW w:w="1485" w:type="pct"/>
            <w:tcBorders>
              <w:top w:val="single" w:sz="4" w:space="0" w:color="auto"/>
              <w:bottom w:val="single" w:sz="4" w:space="0" w:color="auto"/>
            </w:tcBorders>
            <w:shd w:val="clear" w:color="auto" w:fill="auto"/>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Times New Roman" w:asciiTheme="minorHAnsi" w:hAnsiTheme="minorHAnsi" w:cs="Arial"/>
                <w:color w:val="000000"/>
                <w:sz w:val="19"/>
                <w:szCs w:val="22"/>
                <w:lang w:val="en-GB" w:eastAsia="en-AU" w:bidi="ar-SA"/>
              </w:rPr>
              <w:t>Captive-bolt gun</w:t>
            </w:r>
          </w:p>
        </w:tc>
        <w:tc>
          <w:tcPr>
            <w:tcW w:w="1250" w:type="pct"/>
            <w:tcBorders>
              <w:top w:val="single" w:sz="4" w:space="0" w:color="auto"/>
              <w:bottom w:val="single" w:sz="4" w:space="0" w:color="auto"/>
            </w:tcBorders>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Times New Roman" w:asciiTheme="minorHAnsi" w:hAnsiTheme="minorHAnsi" w:cs="Arial"/>
                <w:color w:val="000000"/>
                <w:sz w:val="19"/>
                <w:szCs w:val="22"/>
                <w:lang w:val="en-GB" w:eastAsia="en-AU" w:bidi="ar-SA"/>
              </w:rPr>
              <w:t>1 per vessel, plus 40 cartridges per 1,000 animals</w:t>
            </w:r>
          </w:p>
        </w:tc>
        <w:tc>
          <w:tcPr>
            <w:tcW w:w="1248" w:type="pct"/>
            <w:tcBorders>
              <w:top w:val="single" w:sz="4" w:space="0" w:color="auto"/>
              <w:bottom w:val="single" w:sz="4" w:space="0" w:color="auto"/>
            </w:tcBorders>
          </w:tcPr>
          <w:p w:rsidR="000D35BF" w:rsidRPr="00443A8E" w:rsidP="00C64E4F">
            <w:pPr>
              <w:pStyle w:val="TableText"/>
              <w:spacing w:before="60" w:after="60"/>
              <w:rPr>
                <w:rStyle w:val="DefaultParagraphFont"/>
                <w:rFonts w:eastAsia="Times New Roman" w:asciiTheme="minorHAnsi" w:hAnsiTheme="minorHAnsi" w:cs="Arial"/>
                <w:color w:val="000000"/>
                <w:sz w:val="19"/>
                <w:szCs w:val="22"/>
                <w:lang w:val="en-GB" w:eastAsia="en-AU" w:bidi="ar-SA"/>
              </w:rPr>
            </w:pPr>
            <w:r w:rsidRPr="00443A8E">
              <w:rPr>
                <w:rFonts w:eastAsia="Times New Roman" w:asciiTheme="minorHAnsi" w:hAnsiTheme="minorHAnsi" w:cs="Arial"/>
                <w:color w:val="000000"/>
                <w:sz w:val="19"/>
                <w:szCs w:val="22"/>
                <w:lang w:val="en-GB" w:eastAsia="en-AU" w:bidi="ar-SA"/>
              </w:rPr>
              <w:t>1 per vessel, plus 40 cartridges per 1,000 animals</w:t>
            </w:r>
          </w:p>
        </w:tc>
      </w:tr>
    </w:tbl>
    <w:p w:rsidR="00EB36C8" w:rsidP="00BA1C68">
      <w:pPr>
        <w:pStyle w:val="BoxHeading"/>
      </w:pPr>
      <w:r w:rsidRPr="00145609">
        <w:t>R</w:t>
      </w:r>
      <w:r>
        <w:t>ationale</w:t>
      </w:r>
      <w:r w:rsidRPr="00145609">
        <w:t xml:space="preserve">: </w:t>
      </w:r>
    </w:p>
    <w:p w:rsidR="00974062" w:rsidP="00BA1C68">
      <w:pPr>
        <w:pStyle w:val="BoxText"/>
        <w:rPr>
          <w:lang w:eastAsia="ja-JP"/>
        </w:rPr>
      </w:pPr>
      <w:r>
        <w:t xml:space="preserve">The changes standardise the naming of veterinary medicines and chemicals. </w:t>
      </w:r>
      <w:r w:rsidR="00C31237">
        <w:rPr>
          <w:lang w:eastAsia="ja-JP"/>
        </w:rPr>
        <w:br w:type="page"/>
      </w:r>
    </w:p>
    <w:p w:rsidR="000D35BF" w:rsidRPr="0080517C" w:rsidP="000D35BF">
      <w:pPr>
        <w:pStyle w:val="Heading2"/>
        <w:ind w:left="0" w:firstLine="0"/>
      </w:pPr>
      <w:r>
        <w:t>More</w:t>
      </w:r>
      <w:r w:rsidRPr="0080517C">
        <w:t xml:space="preserve"> information</w:t>
      </w:r>
    </w:p>
    <w:p w:rsidR="000D35BF" w:rsidRPr="00CF4D80" w:rsidP="000D35BF">
      <w:pPr>
        <w:rPr>
          <w:lang w:eastAsia="ja-JP"/>
        </w:rPr>
      </w:pPr>
      <w:r w:rsidRPr="00CF4D80">
        <w:rPr>
          <w:lang w:eastAsia="ja-JP"/>
        </w:rPr>
        <w:t xml:space="preserve">Learn more about </w:t>
      </w:r>
      <w:r>
        <w:rPr>
          <w:lang w:eastAsia="ja-JP"/>
        </w:rPr>
        <w:t xml:space="preserve">the </w:t>
      </w:r>
      <w:r w:rsidRPr="003D2EFD">
        <w:rPr>
          <w:lang w:eastAsia="ja-JP"/>
        </w:rPr>
        <w:t>Australian standards for the Export of Livestock</w:t>
      </w:r>
      <w:r w:rsidRPr="00F71BFF">
        <w:rPr>
          <w:lang w:eastAsia="ja-JP"/>
        </w:rPr>
        <w:t>.</w:t>
      </w:r>
    </w:p>
    <w:p w:rsidR="000D35BF" w:rsidRPr="00CF4D80" w:rsidP="000D35BF">
      <w:r w:rsidRPr="00CF4D80">
        <w:rPr>
          <w:lang w:eastAsia="ja-JP"/>
        </w:rPr>
        <w:t>Web</w:t>
      </w:r>
      <w:r>
        <w:rPr>
          <w:lang w:eastAsia="ja-JP"/>
        </w:rPr>
        <w:t>:</w:t>
      </w:r>
      <w:r w:rsidRPr="00CF4D80">
        <w:rPr>
          <w:lang w:eastAsia="ja-JP"/>
        </w:rPr>
        <w:t xml:space="preserve"> </w:t>
      </w:r>
      <w:r w:rsidRPr="00356EB8">
        <w:t>agriculture.gov.au/biosecurity-trade/export/controlled-goods/live-animals/livestock/australian-standards-livestoc</w:t>
      </w:r>
      <w:r w:rsidRPr="00356EB8" w:rsidR="00356EB8">
        <w:t>k</w:t>
      </w:r>
      <w:r w:rsidR="00356EB8">
        <w:t xml:space="preserve"> </w:t>
      </w:r>
    </w:p>
    <w:p w:rsidR="000D35BF" w:rsidP="000D35BF">
      <w:pPr>
        <w:rPr>
          <w:lang w:eastAsia="ja-JP"/>
        </w:rPr>
      </w:pPr>
      <w:r w:rsidRPr="00CF4D80">
        <w:rPr>
          <w:lang w:eastAsia="ja-JP"/>
        </w:rPr>
        <w:t>Email</w:t>
      </w:r>
      <w:r>
        <w:rPr>
          <w:lang w:eastAsia="ja-JP"/>
        </w:rPr>
        <w:t>:</w:t>
      </w:r>
      <w:r w:rsidRPr="00CF4D80">
        <w:rPr>
          <w:lang w:eastAsia="ja-JP"/>
        </w:rPr>
        <w:t xml:space="preserve"> </w:t>
      </w:r>
      <w:r w:rsidRPr="00356EB8">
        <w:t>ASELReview@aff.gov.au</w:t>
      </w:r>
    </w:p>
    <w:p w:rsidR="000D35BF" w:rsidP="000D35BF">
      <w:pPr>
        <w:pStyle w:val="Normalsmall"/>
      </w:pPr>
      <w:r>
        <w:rPr>
          <w:rStyle w:val="Strong"/>
        </w:rPr>
        <w:t>Acknowledgement of Country</w:t>
      </w:r>
    </w:p>
    <w:p w:rsidR="000D35BF" w:rsidRPr="000A5BA0" w:rsidP="000D35BF">
      <w:pPr>
        <w:pStyle w:val="Normalsmall"/>
        <w:rPr>
          <w:rStyle w:val="Hyperlink"/>
          <w:color w:val="auto"/>
          <w:u w:val="none"/>
        </w:rPr>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rsidR="000D35BF" w:rsidP="000D35BF">
      <w:pPr>
        <w:pStyle w:val="Normalsmall"/>
        <w:spacing w:before="360"/>
      </w:pPr>
      <w:r>
        <w:t>© Commonwealth of Australia 2023</w:t>
      </w:r>
    </w:p>
    <w:p w:rsidR="000D35BF" w:rsidP="000D35BF">
      <w:pPr>
        <w:pStyle w:val="Normalsmall"/>
      </w:pPr>
      <w:r>
        <w:t>Unless otherwise noted, copyright (and any other intellectual property rights) in this publication is owned by the Commonwealth of Australia (referred to as the Commonwealth).</w:t>
      </w:r>
    </w:p>
    <w:p w:rsidR="000D35BF" w:rsidP="000D35BF">
      <w:pPr>
        <w:pStyle w:val="Normalsmall"/>
      </w:pPr>
      <w:r>
        <w:t xml:space="preserve">All material in this publication is licensed under a Creative Commons Attribution 4.0 International Licence </w:t>
      </w:r>
      <w:r>
        <w:t>except content supplied by third parties, logos and the Commonwealth Coat of Arms.</w:t>
      </w:r>
    </w:p>
    <w:p w:rsidR="000D35BF" w:rsidP="002D2633">
      <w:pPr>
        <w:pStyle w:val="Normalsmall"/>
      </w:pPr>
      <w:r>
        <w:t xml:space="preserve">The Australian Government acting through the </w:t>
      </w:r>
      <w:r w:rsidRPr="007B1F92">
        <w:t>Department of Agriculture, Fisheries and Forestry</w:t>
      </w:r>
      <w:r>
        <w:t xml:space="preserve"> has exercised due care and skill in preparing and compiling the information and data in this publication. Notwithstanding, the </w:t>
      </w:r>
      <w:r w:rsidRPr="007B1F92">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w:t>
      </w:r>
      <w:r>
        <w:t>ted by law.</w:t>
      </w:r>
    </w:p>
    <w:sectPr w:rsidSect="0013173D">
      <w:headerReference w:type="default" r:id="rId8"/>
      <w:footerReference w:type="default" r:id="rId9"/>
      <w:headerReference w:type="first" r:id="rId10"/>
      <w:footerReference w:type="first" r:id="rId11"/>
      <w:pgSz w:w="11906" w:h="16838" w:code="9"/>
      <w:pgMar w:top="1418" w:right="1247" w:bottom="1134" w:left="1247" w:header="567" w:footer="284"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3E83" w:rsidP="00863E83">
    <w:pPr>
      <w:pStyle w:val="Footer"/>
    </w:pPr>
    <w:r w:rsidRPr="007B1F92">
      <w:t>Department of Agriculture, Fisheries and Forestry</w:t>
    </w:r>
  </w:p>
  <w:p w:rsidR="000542B4" w:rsidP="000542B4">
    <w:pPr>
      <w:pStyle w:val="Footer"/>
    </w:pPr>
    <w:sdt>
      <w:sdtPr>
        <w:id w:val="-1564876113"/>
        <w:docPartObj>
          <w:docPartGallery w:val="Page Numbers (Bottom of Page)"/>
          <w:docPartUnique/>
        </w:docPartObj>
      </w:sdtPr>
      <w:sdtEndPr>
        <w:rPr>
          <w:noProof/>
        </w:rPr>
      </w:sdtEndPr>
      <w:sdtContent>
        <w:r w:rsidR="00F41203">
          <w:fldChar w:fldCharType="begin"/>
        </w:r>
        <w:r w:rsidR="00F41203">
          <w:instrText xml:space="preserve"> PAGE   \* MERGEFORMAT </w:instrText>
        </w:r>
        <w:r w:rsidR="00F41203">
          <w:fldChar w:fldCharType="separate"/>
        </w:r>
        <w:r w:rsidR="00A62F99">
          <w:rPr>
            <w:noProof/>
          </w:rPr>
          <w:t>24</w:t>
        </w:r>
        <w:r w:rsidR="00F41203">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58040093"/>
      <w:docPartObj>
        <w:docPartGallery w:val="Page Numbers (Bottom of Page)"/>
        <w:docPartUnique/>
      </w:docPartObj>
    </w:sdtPr>
    <w:sdtEndPr>
      <w:rPr>
        <w:noProof/>
      </w:rPr>
    </w:sdtEndPr>
    <w:sdtContent>
      <w:p w:rsidR="00577F29" w:rsidP="004E6316">
        <w:pPr>
          <w:pStyle w:val="Footer"/>
        </w:pPr>
        <w:r w:rsidRPr="007B1F92">
          <w:t>Department of Agriculture, Fisheries and Forestry</w:t>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7028641"/>
      <w:docPartObj>
        <w:docPartGallery w:val="Page Numbers (Top of Page)"/>
        <w:docPartUnique/>
      </w:docPartObj>
    </w:sdtPr>
    <w:sdtEndPr>
      <w:rPr>
        <w:noProof/>
      </w:rPr>
    </w:sdtEndPr>
    <w:sdtContent>
      <w:p w:rsidR="007B5B81">
        <w:pPr>
          <w:pStyle w:val="Header"/>
          <w:jc w:val="right"/>
        </w:pPr>
        <w:r>
          <w:fldChar w:fldCharType="begin"/>
        </w:r>
        <w:r>
          <w:instrText xml:space="preserve"> PAGE   \* MERGEFORMAT </w:instrText>
        </w:r>
        <w:r>
          <w:fldChar w:fldCharType="separate"/>
        </w:r>
        <w:r>
          <w:rPr>
            <w:noProof/>
          </w:rPr>
          <w:t>24</w:t>
        </w:r>
        <w:r>
          <w:rPr>
            <w:noProof/>
          </w:rPr>
          <w:fldChar w:fldCharType="end"/>
        </w:r>
      </w:p>
    </w:sdtContent>
  </w:sdt>
  <w:p w:rsidR="000542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455C" w:rsidP="00A8157A">
    <w:pPr>
      <w:pStyle w:val="Footer"/>
      <w:spacing w:after="0"/>
      <w:jc w:val="left"/>
    </w:pPr>
    <w:r>
      <w:rPr>
        <w:noProof/>
      </w:rPr>
      <w:drawing>
        <wp:anchor distT="0" distB="0" distL="114300" distR="114300" simplePos="0" relativeHeight="251658240" behindDoc="1" locked="0" layoutInCell="1" allowOverlap="1">
          <wp:simplePos x="0" y="0"/>
          <wp:positionH relativeFrom="page">
            <wp:posOffset>-10571</wp:posOffset>
          </wp:positionH>
          <wp:positionV relativeFrom="paragraph">
            <wp:posOffset>-347949</wp:posOffset>
          </wp:positionV>
          <wp:extent cx="7563598" cy="1296181"/>
          <wp:effectExtent l="0" t="0" r="0" b="0"/>
          <wp:wrapNone/>
          <wp:docPr id="2" name="Pictur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587598" name="Picture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Jc w:val="left"/>
      <w:pPr>
        <w:ind w:left="1474" w:hanging="368"/>
      </w:pPr>
      <w:rPr>
        <w:rFonts w:hint="default"/>
        <w:color w:val="auto"/>
      </w:rPr>
    </w:lvl>
    <w:lvl w:ilvl="4">
      <w:start w:val="1"/>
      <w:numFmt w:val="none"/>
      <w:lvlJc w:val="left"/>
      <w:pPr>
        <w:ind w:left="1800" w:hanging="360"/>
      </w:pPr>
      <w:rPr>
        <w:rFonts w:hint="default"/>
        <w:color w:val="auto"/>
      </w:rPr>
    </w:lvl>
    <w:lvl w:ilvl="5">
      <w:start w:val="1"/>
      <w:numFmt w:val="none"/>
      <w:lvlJc w:val="left"/>
      <w:pPr>
        <w:ind w:left="2160" w:hanging="360"/>
      </w:pPr>
      <w:rPr>
        <w:rFonts w:hint="default"/>
        <w:color w:val="auto"/>
      </w:rPr>
    </w:lvl>
    <w:lvl w:ilvl="6">
      <w:start w:val="1"/>
      <w:numFmt w:val="none"/>
      <w:lvlJc w:val="left"/>
      <w:pPr>
        <w:ind w:left="2520" w:hanging="360"/>
      </w:pPr>
      <w:rPr>
        <w:rFonts w:hint="default"/>
        <w:color w:val="auto"/>
      </w:rPr>
    </w:lvl>
    <w:lvl w:ilvl="7">
      <w:start w:val="1"/>
      <w:numFmt w:val="none"/>
      <w:lvlJc w:val="left"/>
      <w:pPr>
        <w:ind w:left="2880" w:hanging="360"/>
      </w:pPr>
      <w:rPr>
        <w:rFonts w:hint="default"/>
        <w:color w:val="auto"/>
      </w:rPr>
    </w:lvl>
    <w:lvl w:ilvl="8">
      <w:start w:val="1"/>
      <w:numFmt w:val="none"/>
      <w:lvlJc w:val="left"/>
      <w:pPr>
        <w:ind w:left="3240" w:hanging="360"/>
      </w:pPr>
      <w:rPr>
        <w:rFonts w:hint="default"/>
        <w:color w:val="auto"/>
      </w:rPr>
    </w:lvl>
  </w:abstractNum>
  <w:abstractNum w:abstractNumId="1">
    <w:nsid w:val="021224AC"/>
    <w:multiLevelType w:val="multilevel"/>
    <w:tmpl w:val="0C09001D"/>
    <w:numStyleLink w:val="Listlevel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
    <w:nsid w:val="02E37A49"/>
    <w:multiLevelType w:val="hybridMultilevel"/>
    <w:tmpl w:val="10A4AA12"/>
    <w:lvl w:ilvl="0">
      <w:start w:val="1"/>
      <w:numFmt w:val="upperRoman"/>
      <w:lvlText w:val="%1."/>
      <w:lvlJc w:val="righ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33A02F1"/>
    <w:multiLevelType w:val="hybridMultilevel"/>
    <w:tmpl w:val="1CE86400"/>
    <w:lvl w:ilvl="0">
      <w:start w:val="7"/>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721335D"/>
    <w:multiLevelType w:val="multilevel"/>
    <w:tmpl w:val="4CF83D24"/>
    <w:lvl w:ilvl="0">
      <w:start w:val="1"/>
      <w:numFmt w:val="decimal"/>
      <w:lvlText w:val="%1"/>
      <w:lvlJc w:val="left"/>
      <w:pPr>
        <w:ind w:left="435" w:hanging="435"/>
      </w:pPr>
      <w:rPr>
        <w:rFonts w:hint="default"/>
        <w:b/>
      </w:rPr>
    </w:lvl>
    <w:lvl w:ilvl="1">
      <w:start w:val="7"/>
      <w:numFmt w:val="decimal"/>
      <w:lvlText w:val="%1.%2"/>
      <w:lvlJc w:val="left"/>
      <w:pPr>
        <w:ind w:left="435" w:hanging="435"/>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nsid w:val="10D868D5"/>
    <w:multiLevelType w:val="hybridMultilevel"/>
    <w:tmpl w:val="F40E62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2056DAA"/>
    <w:multiLevelType w:val="hybridMultilevel"/>
    <w:tmpl w:val="EEFE1A5E"/>
    <w:lvl w:ilvl="0">
      <w:start w:val="1"/>
      <w:numFmt w:val="bullet"/>
      <w:pStyle w:val="TableBullet2"/>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7">
    <w:nsid w:val="14455736"/>
    <w:multiLevelType w:val="multilevel"/>
    <w:tmpl w:val="0C09001D"/>
    <w:styleLink w:val="Listlevel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96B606F"/>
    <w:multiLevelType w:val="hybridMultilevel"/>
    <w:tmpl w:val="95A2EBFC"/>
    <w:lvl w:ilvl="0">
      <w:start w:val="1"/>
      <w:numFmt w:val="bullet"/>
      <w:pStyle w:val="TableBullet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E902C23"/>
    <w:multiLevelType w:val="multilevel"/>
    <w:tmpl w:val="D89C556E"/>
    <w:lvl w:ilvl="0">
      <w:start w:val="6"/>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nsid w:val="20FF07F8"/>
    <w:multiLevelType w:val="hybridMultilevel"/>
    <w:tmpl w:val="C088CF32"/>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11">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3B76F1E"/>
    <w:multiLevelType w:val="hybridMultilevel"/>
    <w:tmpl w:val="605032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71E6BC5"/>
    <w:multiLevelType w:val="hybridMultilevel"/>
    <w:tmpl w:val="4052E2F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7A31537"/>
    <w:multiLevelType w:val="hybridMultilevel"/>
    <w:tmpl w:val="5E52FD2A"/>
    <w:lvl w:ilvl="0">
      <w:start w:val="1"/>
      <w:numFmt w:val="lowerLetter"/>
      <w:lvlText w:val="%1)"/>
      <w:lvlJc w:val="left"/>
      <w:pPr>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6B838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8DE2E4A"/>
    <w:multiLevelType w:val="hybridMultilevel"/>
    <w:tmpl w:val="134CAC7C"/>
    <w:lvl w:ilvl="0">
      <w:start w:val="1"/>
      <w:numFmt w:val="bullet"/>
      <w:pStyle w:val="BoxTex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E474FFE"/>
    <w:multiLevelType w:val="hybridMultilevel"/>
    <w:tmpl w:val="1B76EA58"/>
    <w:lvl w:ilvl="0">
      <w:start w:val="1"/>
      <w:numFmt w:val="upp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5770342E"/>
    <w:multiLevelType w:val="multilevel"/>
    <w:tmpl w:val="3D4291B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0">
    <w:nsid w:val="59E27747"/>
    <w:multiLevelType w:val="hybridMultilevel"/>
    <w:tmpl w:val="49F226D0"/>
    <w:lvl w:ilvl="0">
      <w:start w:val="1"/>
      <w:numFmt w:val="upp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2">
    <w:nsid w:val="5B8F3B04"/>
    <w:multiLevelType w:val="multilevel"/>
    <w:tmpl w:val="E8A2136A"/>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3">
    <w:nsid w:val="63D4786F"/>
    <w:multiLevelType w:val="multilevel"/>
    <w:tmpl w:val="0C09001D"/>
    <w:numStyleLink w:val="Listlevel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4">
    <w:nsid w:val="64C2265A"/>
    <w:multiLevelType w:val="hybridMultilevel"/>
    <w:tmpl w:val="0A6420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84C67D7"/>
    <w:multiLevelType w:val="hybridMultilevel"/>
    <w:tmpl w:val="13F4D3BE"/>
    <w:lvl w:ilvl="0">
      <w:start w:val="1"/>
      <w:numFmt w:val="decimal"/>
      <w:pStyle w:val="Heading3"/>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9B604A3"/>
    <w:multiLevelType w:val="multilevel"/>
    <w:tmpl w:val="2ED4CA22"/>
    <w:lvl w:ilvl="0">
      <w:start w:val="6"/>
      <w:numFmt w:val="decimal"/>
      <w:lvlText w:val="%1"/>
      <w:lvlJc w:val="left"/>
      <w:pPr>
        <w:ind w:left="435" w:hanging="435"/>
      </w:pPr>
      <w:rPr>
        <w:rFonts w:hint="default"/>
        <w:b/>
      </w:rPr>
    </w:lvl>
    <w:lvl w:ilvl="1">
      <w:start w:val="7"/>
      <w:numFmt w:val="decimal"/>
      <w:lvlText w:val="%1.%2"/>
      <w:lvlJc w:val="left"/>
      <w:pPr>
        <w:ind w:left="435" w:hanging="435"/>
      </w:pPr>
      <w:rPr>
        <w:rFonts w:hint="default"/>
        <w:b/>
      </w:rPr>
    </w:lvl>
    <w:lvl w:ilvl="2">
      <w:start w:val="9"/>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16"/>
  </w:num>
  <w:num w:numId="2">
    <w:abstractNumId w:val="11"/>
  </w:num>
  <w:num w:numId="3">
    <w:abstractNumId w:val="21"/>
  </w:num>
  <w:num w:numId="4">
    <w:abstractNumId w:val="22"/>
  </w:num>
  <w:num w:numId="5">
    <w:abstractNumId w:val="6"/>
  </w:num>
  <w:num w:numId="6">
    <w:abstractNumId w:val="17"/>
  </w:num>
  <w:num w:numId="7">
    <w:abstractNumId w:val="19"/>
  </w:num>
  <w:num w:numId="8">
    <w:abstractNumId w:val="8"/>
  </w:num>
  <w:num w:numId="9">
    <w:abstractNumId w:val="0"/>
  </w:num>
  <w:num w:numId="10">
    <w:abstractNumId w:val="25"/>
  </w:num>
  <w:num w:numId="11">
    <w:abstractNumId w:val="14"/>
  </w:num>
  <w:num w:numId="12">
    <w:abstractNumId w:val="2"/>
  </w:num>
  <w:num w:numId="13">
    <w:abstractNumId w:val="18"/>
  </w:num>
  <w:num w:numId="14">
    <w:abstractNumId w:val="20"/>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2"/>
    <w:lvlOverride w:ilvl="0">
      <w:startOverride w:val="1"/>
    </w:lvlOverride>
    <w:lvlOverride w:ilvl="1">
      <w:startOverride w:val="9"/>
    </w:lvlOverride>
  </w:num>
  <w:num w:numId="18">
    <w:abstractNumId w:val="22"/>
    <w:lvlOverride w:ilvl="0">
      <w:startOverride w:val="1"/>
    </w:lvlOverride>
    <w:lvlOverride w:ilvl="1">
      <w:startOverride w:val="9"/>
    </w:lvlOverride>
  </w:num>
  <w:num w:numId="19">
    <w:abstractNumId w:val="22"/>
    <w:lvlOverride w:ilvl="0">
      <w:startOverride w:val="1"/>
    </w:lvlOverride>
    <w:lvlOverride w:ilvl="1">
      <w:startOverride w:val="1"/>
    </w:lvlOverride>
    <w:lvlOverride w:ilvl="2">
      <w:startOverride w:val="2"/>
    </w:lvlOverride>
  </w:num>
  <w:num w:numId="20">
    <w:abstractNumId w:val="13"/>
  </w:num>
  <w:num w:numId="21">
    <w:abstractNumId w:val="3"/>
  </w:num>
  <w:num w:numId="22">
    <w:abstractNumId w:val="10"/>
  </w:num>
  <w:num w:numId="23">
    <w:abstractNumId w:val="5"/>
  </w:num>
  <w:num w:numId="24">
    <w:abstractNumId w:val="24"/>
  </w:num>
  <w:num w:numId="25">
    <w:abstractNumId w:val="25"/>
  </w:num>
  <w:num w:numId="26">
    <w:abstractNumId w:val="25"/>
  </w:num>
  <w:num w:numId="27">
    <w:abstractNumId w:val="25"/>
  </w:num>
  <w:num w:numId="28">
    <w:abstractNumId w:val="25"/>
  </w:num>
  <w:num w:numId="29">
    <w:abstractNumId w:val="25"/>
  </w:num>
  <w:num w:numId="30">
    <w:abstractNumId w:val="25"/>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23"/>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num>
  <w:num w:numId="60">
    <w:abstractNumId w:val="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stylePaneFormatFilter w:val="1001" w:allStyles="1" w:alternateStyleNames="0" w:clearFormatting="1" w:customStyles="0" w:directFormattingOnNumbering="0" w:directFormattingOnParagraphs="0" w:directFormattingOnRuns="0" w:directFormattingOnTables="0" w:headingStyles="0" w:latentStyles="0" w:numberingStyles="0" w:stylesInUse="0" w:tableStyles="0" w:top3HeadingStyles="0" w:visibleStyles="0"/>
  <w:stylePaneSortMethod w:val="name"/>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044"/>
    <w:rsid w:val="0000059E"/>
    <w:rsid w:val="0000066F"/>
    <w:rsid w:val="00001B53"/>
    <w:rsid w:val="00003BAA"/>
    <w:rsid w:val="00004A88"/>
    <w:rsid w:val="000057D4"/>
    <w:rsid w:val="00011792"/>
    <w:rsid w:val="00012723"/>
    <w:rsid w:val="00016216"/>
    <w:rsid w:val="00017ACB"/>
    <w:rsid w:val="00021590"/>
    <w:rsid w:val="00021F12"/>
    <w:rsid w:val="00025D1B"/>
    <w:rsid w:val="000266C4"/>
    <w:rsid w:val="00027DA7"/>
    <w:rsid w:val="00032E1C"/>
    <w:rsid w:val="0003639E"/>
    <w:rsid w:val="00037DC1"/>
    <w:rsid w:val="00047F84"/>
    <w:rsid w:val="000523FA"/>
    <w:rsid w:val="000542B4"/>
    <w:rsid w:val="000562AC"/>
    <w:rsid w:val="000618F3"/>
    <w:rsid w:val="0006617A"/>
    <w:rsid w:val="00066D0B"/>
    <w:rsid w:val="00070F0A"/>
    <w:rsid w:val="000717D2"/>
    <w:rsid w:val="000740E7"/>
    <w:rsid w:val="0007416D"/>
    <w:rsid w:val="00074A56"/>
    <w:rsid w:val="0007551C"/>
    <w:rsid w:val="000757FA"/>
    <w:rsid w:val="00077DEF"/>
    <w:rsid w:val="00080827"/>
    <w:rsid w:val="0008277A"/>
    <w:rsid w:val="000904C1"/>
    <w:rsid w:val="00091046"/>
    <w:rsid w:val="000913B5"/>
    <w:rsid w:val="00091C45"/>
    <w:rsid w:val="00092256"/>
    <w:rsid w:val="0009257D"/>
    <w:rsid w:val="00092BBB"/>
    <w:rsid w:val="0009476F"/>
    <w:rsid w:val="00094862"/>
    <w:rsid w:val="00094AA4"/>
    <w:rsid w:val="00095516"/>
    <w:rsid w:val="00095DBD"/>
    <w:rsid w:val="000A08E9"/>
    <w:rsid w:val="000A2063"/>
    <w:rsid w:val="000A3EBA"/>
    <w:rsid w:val="000A5B6D"/>
    <w:rsid w:val="000A5BA0"/>
    <w:rsid w:val="000A6838"/>
    <w:rsid w:val="000A6CA0"/>
    <w:rsid w:val="000A7E8A"/>
    <w:rsid w:val="000B3924"/>
    <w:rsid w:val="000B3C44"/>
    <w:rsid w:val="000C0412"/>
    <w:rsid w:val="000C3C9B"/>
    <w:rsid w:val="000C4558"/>
    <w:rsid w:val="000D35BF"/>
    <w:rsid w:val="000E119A"/>
    <w:rsid w:val="000E455C"/>
    <w:rsid w:val="000E4D74"/>
    <w:rsid w:val="000E5226"/>
    <w:rsid w:val="000E7803"/>
    <w:rsid w:val="000F0491"/>
    <w:rsid w:val="000F2B15"/>
    <w:rsid w:val="000F7519"/>
    <w:rsid w:val="000F7F40"/>
    <w:rsid w:val="00100B65"/>
    <w:rsid w:val="00102DDE"/>
    <w:rsid w:val="0010586D"/>
    <w:rsid w:val="00110E45"/>
    <w:rsid w:val="0011592A"/>
    <w:rsid w:val="0011638C"/>
    <w:rsid w:val="001233A8"/>
    <w:rsid w:val="001261F7"/>
    <w:rsid w:val="001300EA"/>
    <w:rsid w:val="00130C4E"/>
    <w:rsid w:val="0013173D"/>
    <w:rsid w:val="0013589A"/>
    <w:rsid w:val="001372AD"/>
    <w:rsid w:val="001407CF"/>
    <w:rsid w:val="001422FA"/>
    <w:rsid w:val="001426D9"/>
    <w:rsid w:val="00144601"/>
    <w:rsid w:val="00145609"/>
    <w:rsid w:val="00145C15"/>
    <w:rsid w:val="00145D43"/>
    <w:rsid w:val="00155AB7"/>
    <w:rsid w:val="00156D55"/>
    <w:rsid w:val="001628CE"/>
    <w:rsid w:val="00172203"/>
    <w:rsid w:val="00176FDB"/>
    <w:rsid w:val="00186160"/>
    <w:rsid w:val="00186BD1"/>
    <w:rsid w:val="00187BCF"/>
    <w:rsid w:val="00190D7E"/>
    <w:rsid w:val="001929D2"/>
    <w:rsid w:val="001A03EB"/>
    <w:rsid w:val="001A1747"/>
    <w:rsid w:val="001A5A43"/>
    <w:rsid w:val="001A6968"/>
    <w:rsid w:val="001B0B9A"/>
    <w:rsid w:val="001B3270"/>
    <w:rsid w:val="001C17D2"/>
    <w:rsid w:val="001C22F5"/>
    <w:rsid w:val="001C3F20"/>
    <w:rsid w:val="001C5A6E"/>
    <w:rsid w:val="001D0EF3"/>
    <w:rsid w:val="001D4433"/>
    <w:rsid w:val="001D7BE0"/>
    <w:rsid w:val="001F0CEF"/>
    <w:rsid w:val="001F1C9C"/>
    <w:rsid w:val="001F1DBB"/>
    <w:rsid w:val="001F3A3E"/>
    <w:rsid w:val="001F5DDD"/>
    <w:rsid w:val="00201BFB"/>
    <w:rsid w:val="00203DE1"/>
    <w:rsid w:val="00204392"/>
    <w:rsid w:val="00211499"/>
    <w:rsid w:val="00211C21"/>
    <w:rsid w:val="00215B6F"/>
    <w:rsid w:val="00216656"/>
    <w:rsid w:val="00220618"/>
    <w:rsid w:val="0022229E"/>
    <w:rsid w:val="00222DAF"/>
    <w:rsid w:val="00224ECE"/>
    <w:rsid w:val="00231747"/>
    <w:rsid w:val="00231C7E"/>
    <w:rsid w:val="0023385E"/>
    <w:rsid w:val="00233DC7"/>
    <w:rsid w:val="00237A69"/>
    <w:rsid w:val="00243E03"/>
    <w:rsid w:val="00244B36"/>
    <w:rsid w:val="0024550C"/>
    <w:rsid w:val="00247DDB"/>
    <w:rsid w:val="00251411"/>
    <w:rsid w:val="002518D1"/>
    <w:rsid w:val="00254F6D"/>
    <w:rsid w:val="002601A0"/>
    <w:rsid w:val="002624BC"/>
    <w:rsid w:val="00262680"/>
    <w:rsid w:val="00263BA9"/>
    <w:rsid w:val="00263FFD"/>
    <w:rsid w:val="002648C9"/>
    <w:rsid w:val="002650D7"/>
    <w:rsid w:val="00265975"/>
    <w:rsid w:val="00265AA1"/>
    <w:rsid w:val="002712AB"/>
    <w:rsid w:val="00273652"/>
    <w:rsid w:val="00275B58"/>
    <w:rsid w:val="0028128F"/>
    <w:rsid w:val="00282B82"/>
    <w:rsid w:val="00284B53"/>
    <w:rsid w:val="00294864"/>
    <w:rsid w:val="00297EB5"/>
    <w:rsid w:val="002A657A"/>
    <w:rsid w:val="002B059F"/>
    <w:rsid w:val="002B1FAF"/>
    <w:rsid w:val="002B6EB5"/>
    <w:rsid w:val="002B7AFB"/>
    <w:rsid w:val="002B7C9B"/>
    <w:rsid w:val="002C4527"/>
    <w:rsid w:val="002C506C"/>
    <w:rsid w:val="002D2633"/>
    <w:rsid w:val="002D46E0"/>
    <w:rsid w:val="002D65C2"/>
    <w:rsid w:val="002E3566"/>
    <w:rsid w:val="002E36EE"/>
    <w:rsid w:val="002E3FD4"/>
    <w:rsid w:val="002E4298"/>
    <w:rsid w:val="002F0F3D"/>
    <w:rsid w:val="002F3032"/>
    <w:rsid w:val="002F4348"/>
    <w:rsid w:val="002F4595"/>
    <w:rsid w:val="00300AFD"/>
    <w:rsid w:val="003032C0"/>
    <w:rsid w:val="00305FD8"/>
    <w:rsid w:val="00307F88"/>
    <w:rsid w:val="003102C5"/>
    <w:rsid w:val="00311915"/>
    <w:rsid w:val="003217D3"/>
    <w:rsid w:val="003250B3"/>
    <w:rsid w:val="003270BE"/>
    <w:rsid w:val="0033344B"/>
    <w:rsid w:val="00333E48"/>
    <w:rsid w:val="00336A9D"/>
    <w:rsid w:val="00336B60"/>
    <w:rsid w:val="0034645A"/>
    <w:rsid w:val="0035108D"/>
    <w:rsid w:val="0035318B"/>
    <w:rsid w:val="003558FC"/>
    <w:rsid w:val="003569F9"/>
    <w:rsid w:val="00356EB8"/>
    <w:rsid w:val="0035791B"/>
    <w:rsid w:val="00360518"/>
    <w:rsid w:val="00362579"/>
    <w:rsid w:val="0036396B"/>
    <w:rsid w:val="00366721"/>
    <w:rsid w:val="003707E4"/>
    <w:rsid w:val="00370990"/>
    <w:rsid w:val="0037109F"/>
    <w:rsid w:val="0037530E"/>
    <w:rsid w:val="00376876"/>
    <w:rsid w:val="0037698A"/>
    <w:rsid w:val="00381847"/>
    <w:rsid w:val="00383277"/>
    <w:rsid w:val="00383BAF"/>
    <w:rsid w:val="003841F5"/>
    <w:rsid w:val="00384251"/>
    <w:rsid w:val="0039106B"/>
    <w:rsid w:val="00391A28"/>
    <w:rsid w:val="00392124"/>
    <w:rsid w:val="003937B8"/>
    <w:rsid w:val="003A237D"/>
    <w:rsid w:val="003A7067"/>
    <w:rsid w:val="003B1BA7"/>
    <w:rsid w:val="003B6CF6"/>
    <w:rsid w:val="003B6FA7"/>
    <w:rsid w:val="003B7873"/>
    <w:rsid w:val="003C0FD5"/>
    <w:rsid w:val="003C3E69"/>
    <w:rsid w:val="003C60A5"/>
    <w:rsid w:val="003C63D2"/>
    <w:rsid w:val="003C64B4"/>
    <w:rsid w:val="003C68AF"/>
    <w:rsid w:val="003C7174"/>
    <w:rsid w:val="003D1B0A"/>
    <w:rsid w:val="003D2EFD"/>
    <w:rsid w:val="003D6760"/>
    <w:rsid w:val="003E1429"/>
    <w:rsid w:val="003E15CC"/>
    <w:rsid w:val="003F38C9"/>
    <w:rsid w:val="003F440B"/>
    <w:rsid w:val="003F73D7"/>
    <w:rsid w:val="003F7E42"/>
    <w:rsid w:val="00400E9D"/>
    <w:rsid w:val="004018C5"/>
    <w:rsid w:val="00401EAD"/>
    <w:rsid w:val="0040622E"/>
    <w:rsid w:val="0040659E"/>
    <w:rsid w:val="00411260"/>
    <w:rsid w:val="004116FB"/>
    <w:rsid w:val="0041232D"/>
    <w:rsid w:val="00414929"/>
    <w:rsid w:val="004152BF"/>
    <w:rsid w:val="00415ED0"/>
    <w:rsid w:val="00415ED4"/>
    <w:rsid w:val="00416D9C"/>
    <w:rsid w:val="0042063D"/>
    <w:rsid w:val="0042434F"/>
    <w:rsid w:val="004262AB"/>
    <w:rsid w:val="00427116"/>
    <w:rsid w:val="0042733B"/>
    <w:rsid w:val="0043212F"/>
    <w:rsid w:val="00434935"/>
    <w:rsid w:val="004401E1"/>
    <w:rsid w:val="004404B4"/>
    <w:rsid w:val="0044165D"/>
    <w:rsid w:val="00442630"/>
    <w:rsid w:val="0044304D"/>
    <w:rsid w:val="00443A8E"/>
    <w:rsid w:val="00446CB3"/>
    <w:rsid w:val="004537E3"/>
    <w:rsid w:val="00455013"/>
    <w:rsid w:val="00455881"/>
    <w:rsid w:val="00471288"/>
    <w:rsid w:val="00471F2B"/>
    <w:rsid w:val="004740CB"/>
    <w:rsid w:val="00474BB1"/>
    <w:rsid w:val="00474D1A"/>
    <w:rsid w:val="004751A0"/>
    <w:rsid w:val="00477888"/>
    <w:rsid w:val="00482B8D"/>
    <w:rsid w:val="00487B0E"/>
    <w:rsid w:val="00487F6C"/>
    <w:rsid w:val="00495068"/>
    <w:rsid w:val="0049572A"/>
    <w:rsid w:val="00495C79"/>
    <w:rsid w:val="0049661C"/>
    <w:rsid w:val="00496B22"/>
    <w:rsid w:val="004A1015"/>
    <w:rsid w:val="004A12A5"/>
    <w:rsid w:val="004A2A85"/>
    <w:rsid w:val="004B2B38"/>
    <w:rsid w:val="004B3601"/>
    <w:rsid w:val="004B495E"/>
    <w:rsid w:val="004B7571"/>
    <w:rsid w:val="004B7BF1"/>
    <w:rsid w:val="004C2DA2"/>
    <w:rsid w:val="004C7A3D"/>
    <w:rsid w:val="004C7C97"/>
    <w:rsid w:val="004D0044"/>
    <w:rsid w:val="004D0888"/>
    <w:rsid w:val="004E031D"/>
    <w:rsid w:val="004E1ACF"/>
    <w:rsid w:val="004E6316"/>
    <w:rsid w:val="004F5338"/>
    <w:rsid w:val="004F5D54"/>
    <w:rsid w:val="004F5E9B"/>
    <w:rsid w:val="004F738A"/>
    <w:rsid w:val="005006E6"/>
    <w:rsid w:val="0050084C"/>
    <w:rsid w:val="005009D1"/>
    <w:rsid w:val="005019C1"/>
    <w:rsid w:val="005026DB"/>
    <w:rsid w:val="005070C8"/>
    <w:rsid w:val="0051177F"/>
    <w:rsid w:val="005125B8"/>
    <w:rsid w:val="00513828"/>
    <w:rsid w:val="00514CA3"/>
    <w:rsid w:val="00514CEE"/>
    <w:rsid w:val="00515287"/>
    <w:rsid w:val="005157CF"/>
    <w:rsid w:val="005175CD"/>
    <w:rsid w:val="00517604"/>
    <w:rsid w:val="00517E6D"/>
    <w:rsid w:val="00530C4F"/>
    <w:rsid w:val="00531B5A"/>
    <w:rsid w:val="005325DF"/>
    <w:rsid w:val="005331A3"/>
    <w:rsid w:val="005373D5"/>
    <w:rsid w:val="00540D53"/>
    <w:rsid w:val="00541556"/>
    <w:rsid w:val="00542704"/>
    <w:rsid w:val="00542D0F"/>
    <w:rsid w:val="0054307A"/>
    <w:rsid w:val="005433BD"/>
    <w:rsid w:val="00547FD1"/>
    <w:rsid w:val="00551B1E"/>
    <w:rsid w:val="005539E9"/>
    <w:rsid w:val="00553E9D"/>
    <w:rsid w:val="0055447F"/>
    <w:rsid w:val="00555C09"/>
    <w:rsid w:val="00555DAB"/>
    <w:rsid w:val="00563D4C"/>
    <w:rsid w:val="005640C3"/>
    <w:rsid w:val="00564320"/>
    <w:rsid w:val="00567DFC"/>
    <w:rsid w:val="00570566"/>
    <w:rsid w:val="00573B1B"/>
    <w:rsid w:val="00577F29"/>
    <w:rsid w:val="005827D0"/>
    <w:rsid w:val="005977B4"/>
    <w:rsid w:val="005A3616"/>
    <w:rsid w:val="005A48A6"/>
    <w:rsid w:val="005B1194"/>
    <w:rsid w:val="005B613F"/>
    <w:rsid w:val="005B656B"/>
    <w:rsid w:val="005B6E5C"/>
    <w:rsid w:val="005C2BFD"/>
    <w:rsid w:val="005C60EF"/>
    <w:rsid w:val="005D1194"/>
    <w:rsid w:val="005D1E5F"/>
    <w:rsid w:val="005D305C"/>
    <w:rsid w:val="005D3E2A"/>
    <w:rsid w:val="005D5080"/>
    <w:rsid w:val="005D5E0A"/>
    <w:rsid w:val="005E032A"/>
    <w:rsid w:val="005E05B3"/>
    <w:rsid w:val="005E40F5"/>
    <w:rsid w:val="005E5BA6"/>
    <w:rsid w:val="005F1A66"/>
    <w:rsid w:val="005F1BAE"/>
    <w:rsid w:val="005F35A3"/>
    <w:rsid w:val="005F4BE2"/>
    <w:rsid w:val="005F4E7B"/>
    <w:rsid w:val="005F7E06"/>
    <w:rsid w:val="00607A21"/>
    <w:rsid w:val="00607A36"/>
    <w:rsid w:val="00610487"/>
    <w:rsid w:val="006146AF"/>
    <w:rsid w:val="006156DF"/>
    <w:rsid w:val="00615903"/>
    <w:rsid w:val="006258C3"/>
    <w:rsid w:val="00625ABD"/>
    <w:rsid w:val="00625D8D"/>
    <w:rsid w:val="00633E51"/>
    <w:rsid w:val="006360F9"/>
    <w:rsid w:val="006373EB"/>
    <w:rsid w:val="00640007"/>
    <w:rsid w:val="00642545"/>
    <w:rsid w:val="00642F36"/>
    <w:rsid w:val="0064622B"/>
    <w:rsid w:val="00646917"/>
    <w:rsid w:val="00653D25"/>
    <w:rsid w:val="00656587"/>
    <w:rsid w:val="00656702"/>
    <w:rsid w:val="0065743C"/>
    <w:rsid w:val="00660886"/>
    <w:rsid w:val="00660F45"/>
    <w:rsid w:val="0066244D"/>
    <w:rsid w:val="00664C3A"/>
    <w:rsid w:val="00667DE6"/>
    <w:rsid w:val="00670611"/>
    <w:rsid w:val="00676E57"/>
    <w:rsid w:val="00686929"/>
    <w:rsid w:val="00691102"/>
    <w:rsid w:val="0069220F"/>
    <w:rsid w:val="00692C63"/>
    <w:rsid w:val="00696682"/>
    <w:rsid w:val="006A1021"/>
    <w:rsid w:val="006A3E93"/>
    <w:rsid w:val="006A6279"/>
    <w:rsid w:val="006A66A0"/>
    <w:rsid w:val="006A6AEB"/>
    <w:rsid w:val="006B0030"/>
    <w:rsid w:val="006B13D7"/>
    <w:rsid w:val="006B1499"/>
    <w:rsid w:val="006B1FCD"/>
    <w:rsid w:val="006B49DE"/>
    <w:rsid w:val="006B56FA"/>
    <w:rsid w:val="006B62FA"/>
    <w:rsid w:val="006B64D4"/>
    <w:rsid w:val="006C07E3"/>
    <w:rsid w:val="006C5A7C"/>
    <w:rsid w:val="006C6902"/>
    <w:rsid w:val="006D087F"/>
    <w:rsid w:val="006D413F"/>
    <w:rsid w:val="006E0025"/>
    <w:rsid w:val="006E1561"/>
    <w:rsid w:val="006E353E"/>
    <w:rsid w:val="006E4803"/>
    <w:rsid w:val="006F6FE8"/>
    <w:rsid w:val="00700A80"/>
    <w:rsid w:val="00701B9C"/>
    <w:rsid w:val="0070464B"/>
    <w:rsid w:val="00707065"/>
    <w:rsid w:val="00711CDE"/>
    <w:rsid w:val="00712DD3"/>
    <w:rsid w:val="007144F5"/>
    <w:rsid w:val="00714F8B"/>
    <w:rsid w:val="0071554B"/>
    <w:rsid w:val="0071651D"/>
    <w:rsid w:val="00721291"/>
    <w:rsid w:val="00721735"/>
    <w:rsid w:val="0072560A"/>
    <w:rsid w:val="007258B1"/>
    <w:rsid w:val="0072599E"/>
    <w:rsid w:val="00725C8B"/>
    <w:rsid w:val="00726C98"/>
    <w:rsid w:val="0073217E"/>
    <w:rsid w:val="00734B28"/>
    <w:rsid w:val="00735F94"/>
    <w:rsid w:val="00737FB5"/>
    <w:rsid w:val="00740245"/>
    <w:rsid w:val="00740263"/>
    <w:rsid w:val="00743137"/>
    <w:rsid w:val="007446E0"/>
    <w:rsid w:val="00744F5E"/>
    <w:rsid w:val="00746CD4"/>
    <w:rsid w:val="007472B1"/>
    <w:rsid w:val="007523CE"/>
    <w:rsid w:val="00754CA3"/>
    <w:rsid w:val="007555BA"/>
    <w:rsid w:val="0076367E"/>
    <w:rsid w:val="0076549B"/>
    <w:rsid w:val="00772371"/>
    <w:rsid w:val="00774189"/>
    <w:rsid w:val="0077457E"/>
    <w:rsid w:val="007755C6"/>
    <w:rsid w:val="0078019A"/>
    <w:rsid w:val="007826C6"/>
    <w:rsid w:val="00782F86"/>
    <w:rsid w:val="00783126"/>
    <w:rsid w:val="00783B88"/>
    <w:rsid w:val="00786AE7"/>
    <w:rsid w:val="00793E18"/>
    <w:rsid w:val="00794590"/>
    <w:rsid w:val="00795E62"/>
    <w:rsid w:val="007979EF"/>
    <w:rsid w:val="007A0B24"/>
    <w:rsid w:val="007A477E"/>
    <w:rsid w:val="007A479E"/>
    <w:rsid w:val="007A511C"/>
    <w:rsid w:val="007A5D2A"/>
    <w:rsid w:val="007B1F92"/>
    <w:rsid w:val="007B27C7"/>
    <w:rsid w:val="007B4C51"/>
    <w:rsid w:val="007B4C63"/>
    <w:rsid w:val="007B53CD"/>
    <w:rsid w:val="007B5B81"/>
    <w:rsid w:val="007C0010"/>
    <w:rsid w:val="007C069F"/>
    <w:rsid w:val="007C073B"/>
    <w:rsid w:val="007C09E7"/>
    <w:rsid w:val="007C1660"/>
    <w:rsid w:val="007C1E02"/>
    <w:rsid w:val="007C2BDA"/>
    <w:rsid w:val="007C34A3"/>
    <w:rsid w:val="007C3869"/>
    <w:rsid w:val="007C4619"/>
    <w:rsid w:val="007C46A8"/>
    <w:rsid w:val="007C6E43"/>
    <w:rsid w:val="007D1899"/>
    <w:rsid w:val="007D1CC2"/>
    <w:rsid w:val="007D63DF"/>
    <w:rsid w:val="007D7178"/>
    <w:rsid w:val="007E54CC"/>
    <w:rsid w:val="007E69AF"/>
    <w:rsid w:val="007F172F"/>
    <w:rsid w:val="007F4986"/>
    <w:rsid w:val="00804C89"/>
    <w:rsid w:val="0080517C"/>
    <w:rsid w:val="00807B64"/>
    <w:rsid w:val="00810698"/>
    <w:rsid w:val="0081511F"/>
    <w:rsid w:val="008164D3"/>
    <w:rsid w:val="00817327"/>
    <w:rsid w:val="00825448"/>
    <w:rsid w:val="00826E71"/>
    <w:rsid w:val="00831125"/>
    <w:rsid w:val="00832638"/>
    <w:rsid w:val="0083561C"/>
    <w:rsid w:val="00835D55"/>
    <w:rsid w:val="00841729"/>
    <w:rsid w:val="0084395A"/>
    <w:rsid w:val="008472D2"/>
    <w:rsid w:val="008512E4"/>
    <w:rsid w:val="008547E1"/>
    <w:rsid w:val="00856D81"/>
    <w:rsid w:val="00857A5D"/>
    <w:rsid w:val="0086184B"/>
    <w:rsid w:val="00863E83"/>
    <w:rsid w:val="00865130"/>
    <w:rsid w:val="00865A23"/>
    <w:rsid w:val="00870853"/>
    <w:rsid w:val="00872D27"/>
    <w:rsid w:val="008912D3"/>
    <w:rsid w:val="00892B89"/>
    <w:rsid w:val="00892F53"/>
    <w:rsid w:val="00895341"/>
    <w:rsid w:val="00897ED8"/>
    <w:rsid w:val="008A12D9"/>
    <w:rsid w:val="008A4EF5"/>
    <w:rsid w:val="008A6EA1"/>
    <w:rsid w:val="008B2D33"/>
    <w:rsid w:val="008B4461"/>
    <w:rsid w:val="008B7382"/>
    <w:rsid w:val="008C154E"/>
    <w:rsid w:val="008C2076"/>
    <w:rsid w:val="008C28D9"/>
    <w:rsid w:val="008C2AC5"/>
    <w:rsid w:val="008C4D4E"/>
    <w:rsid w:val="008D1BAF"/>
    <w:rsid w:val="008D2AA5"/>
    <w:rsid w:val="008D4C49"/>
    <w:rsid w:val="008E3B54"/>
    <w:rsid w:val="008E710D"/>
    <w:rsid w:val="008F129C"/>
    <w:rsid w:val="008F16BC"/>
    <w:rsid w:val="008F1712"/>
    <w:rsid w:val="008F382A"/>
    <w:rsid w:val="008F4F8D"/>
    <w:rsid w:val="00901CE4"/>
    <w:rsid w:val="00901E57"/>
    <w:rsid w:val="00901F13"/>
    <w:rsid w:val="00902E92"/>
    <w:rsid w:val="0090416A"/>
    <w:rsid w:val="009054AC"/>
    <w:rsid w:val="00906834"/>
    <w:rsid w:val="0090743D"/>
    <w:rsid w:val="009074E4"/>
    <w:rsid w:val="00911F4A"/>
    <w:rsid w:val="00912704"/>
    <w:rsid w:val="009155BC"/>
    <w:rsid w:val="009164BC"/>
    <w:rsid w:val="00916FC3"/>
    <w:rsid w:val="00917C9D"/>
    <w:rsid w:val="00917FF7"/>
    <w:rsid w:val="00926622"/>
    <w:rsid w:val="00926DFE"/>
    <w:rsid w:val="00927715"/>
    <w:rsid w:val="00927CC9"/>
    <w:rsid w:val="0093086F"/>
    <w:rsid w:val="00932541"/>
    <w:rsid w:val="00937787"/>
    <w:rsid w:val="00942FA5"/>
    <w:rsid w:val="00943779"/>
    <w:rsid w:val="00943E3B"/>
    <w:rsid w:val="0095051E"/>
    <w:rsid w:val="00950832"/>
    <w:rsid w:val="009508EC"/>
    <w:rsid w:val="00953001"/>
    <w:rsid w:val="0095421E"/>
    <w:rsid w:val="00955602"/>
    <w:rsid w:val="00960DE3"/>
    <w:rsid w:val="00964D72"/>
    <w:rsid w:val="00964E2F"/>
    <w:rsid w:val="0097022F"/>
    <w:rsid w:val="00973B5F"/>
    <w:rsid w:val="00974062"/>
    <w:rsid w:val="00974CD6"/>
    <w:rsid w:val="00975324"/>
    <w:rsid w:val="00976310"/>
    <w:rsid w:val="009766B9"/>
    <w:rsid w:val="00981510"/>
    <w:rsid w:val="009844EA"/>
    <w:rsid w:val="00990313"/>
    <w:rsid w:val="00991391"/>
    <w:rsid w:val="00995B30"/>
    <w:rsid w:val="00996185"/>
    <w:rsid w:val="009A168E"/>
    <w:rsid w:val="009A1894"/>
    <w:rsid w:val="009A31BC"/>
    <w:rsid w:val="009A322F"/>
    <w:rsid w:val="009A4835"/>
    <w:rsid w:val="009A58CE"/>
    <w:rsid w:val="009B06CE"/>
    <w:rsid w:val="009B086A"/>
    <w:rsid w:val="009B2A07"/>
    <w:rsid w:val="009B4B48"/>
    <w:rsid w:val="009C1170"/>
    <w:rsid w:val="009C1CAD"/>
    <w:rsid w:val="009C206F"/>
    <w:rsid w:val="009C2DDE"/>
    <w:rsid w:val="009C37F9"/>
    <w:rsid w:val="009C3FA3"/>
    <w:rsid w:val="009C5CE4"/>
    <w:rsid w:val="009C7DA7"/>
    <w:rsid w:val="009D006F"/>
    <w:rsid w:val="009D0835"/>
    <w:rsid w:val="009D2A86"/>
    <w:rsid w:val="009D308F"/>
    <w:rsid w:val="009D4236"/>
    <w:rsid w:val="009D696C"/>
    <w:rsid w:val="009D7044"/>
    <w:rsid w:val="009E1402"/>
    <w:rsid w:val="009E6E1A"/>
    <w:rsid w:val="009E7D5D"/>
    <w:rsid w:val="00A0018B"/>
    <w:rsid w:val="00A01888"/>
    <w:rsid w:val="00A04AFD"/>
    <w:rsid w:val="00A130F7"/>
    <w:rsid w:val="00A136D8"/>
    <w:rsid w:val="00A162EE"/>
    <w:rsid w:val="00A17FF5"/>
    <w:rsid w:val="00A26D47"/>
    <w:rsid w:val="00A32860"/>
    <w:rsid w:val="00A34BF5"/>
    <w:rsid w:val="00A374B5"/>
    <w:rsid w:val="00A42DEE"/>
    <w:rsid w:val="00A43ED9"/>
    <w:rsid w:val="00A50588"/>
    <w:rsid w:val="00A5071E"/>
    <w:rsid w:val="00A519AE"/>
    <w:rsid w:val="00A6202D"/>
    <w:rsid w:val="00A6263A"/>
    <w:rsid w:val="00A62BB2"/>
    <w:rsid w:val="00A62CD6"/>
    <w:rsid w:val="00A62F99"/>
    <w:rsid w:val="00A65D84"/>
    <w:rsid w:val="00A718B6"/>
    <w:rsid w:val="00A75196"/>
    <w:rsid w:val="00A7774C"/>
    <w:rsid w:val="00A77E8E"/>
    <w:rsid w:val="00A8157A"/>
    <w:rsid w:val="00A86073"/>
    <w:rsid w:val="00A86A4D"/>
    <w:rsid w:val="00A86E2C"/>
    <w:rsid w:val="00A96C39"/>
    <w:rsid w:val="00A97C6C"/>
    <w:rsid w:val="00AA0CE0"/>
    <w:rsid w:val="00AA1D89"/>
    <w:rsid w:val="00AA2D3E"/>
    <w:rsid w:val="00AA42B5"/>
    <w:rsid w:val="00AA5682"/>
    <w:rsid w:val="00AA76B0"/>
    <w:rsid w:val="00AB0DC7"/>
    <w:rsid w:val="00AB2288"/>
    <w:rsid w:val="00AB6F4A"/>
    <w:rsid w:val="00AC06C2"/>
    <w:rsid w:val="00AC1918"/>
    <w:rsid w:val="00AC4FA6"/>
    <w:rsid w:val="00AC7C73"/>
    <w:rsid w:val="00AD1E2D"/>
    <w:rsid w:val="00AD3A77"/>
    <w:rsid w:val="00AE1E6E"/>
    <w:rsid w:val="00AE38AD"/>
    <w:rsid w:val="00AE40DE"/>
    <w:rsid w:val="00AE4763"/>
    <w:rsid w:val="00AF25E9"/>
    <w:rsid w:val="00AF46F2"/>
    <w:rsid w:val="00B0121B"/>
    <w:rsid w:val="00B016AF"/>
    <w:rsid w:val="00B01F50"/>
    <w:rsid w:val="00B0455B"/>
    <w:rsid w:val="00B06C96"/>
    <w:rsid w:val="00B07981"/>
    <w:rsid w:val="00B07DE4"/>
    <w:rsid w:val="00B11E02"/>
    <w:rsid w:val="00B152DB"/>
    <w:rsid w:val="00B204C4"/>
    <w:rsid w:val="00B21234"/>
    <w:rsid w:val="00B2539F"/>
    <w:rsid w:val="00B26440"/>
    <w:rsid w:val="00B2707A"/>
    <w:rsid w:val="00B27C4A"/>
    <w:rsid w:val="00B30BF3"/>
    <w:rsid w:val="00B31EE5"/>
    <w:rsid w:val="00B32486"/>
    <w:rsid w:val="00B3476F"/>
    <w:rsid w:val="00B36403"/>
    <w:rsid w:val="00B404AB"/>
    <w:rsid w:val="00B42718"/>
    <w:rsid w:val="00B43568"/>
    <w:rsid w:val="00B46FCF"/>
    <w:rsid w:val="00B4736A"/>
    <w:rsid w:val="00B5554F"/>
    <w:rsid w:val="00B60777"/>
    <w:rsid w:val="00B63E4E"/>
    <w:rsid w:val="00B64B45"/>
    <w:rsid w:val="00B67BD1"/>
    <w:rsid w:val="00B705C0"/>
    <w:rsid w:val="00B75647"/>
    <w:rsid w:val="00B75AAF"/>
    <w:rsid w:val="00B77AC0"/>
    <w:rsid w:val="00B80D93"/>
    <w:rsid w:val="00B82095"/>
    <w:rsid w:val="00B90975"/>
    <w:rsid w:val="00B93571"/>
    <w:rsid w:val="00B94A38"/>
    <w:rsid w:val="00B94CBD"/>
    <w:rsid w:val="00B955D9"/>
    <w:rsid w:val="00B9668F"/>
    <w:rsid w:val="00BA07C1"/>
    <w:rsid w:val="00BA103D"/>
    <w:rsid w:val="00BA1C68"/>
    <w:rsid w:val="00BA2806"/>
    <w:rsid w:val="00BA358E"/>
    <w:rsid w:val="00BA6D8C"/>
    <w:rsid w:val="00BB335E"/>
    <w:rsid w:val="00BB35CB"/>
    <w:rsid w:val="00BB4371"/>
    <w:rsid w:val="00BC125F"/>
    <w:rsid w:val="00BC321A"/>
    <w:rsid w:val="00BC51A1"/>
    <w:rsid w:val="00BC6734"/>
    <w:rsid w:val="00BC6F68"/>
    <w:rsid w:val="00BC77B3"/>
    <w:rsid w:val="00BD1D46"/>
    <w:rsid w:val="00BD4F8E"/>
    <w:rsid w:val="00BD603E"/>
    <w:rsid w:val="00BE1CDE"/>
    <w:rsid w:val="00BE24D9"/>
    <w:rsid w:val="00BE3025"/>
    <w:rsid w:val="00BE345B"/>
    <w:rsid w:val="00BE4730"/>
    <w:rsid w:val="00BF14B3"/>
    <w:rsid w:val="00BF1596"/>
    <w:rsid w:val="00BF41E8"/>
    <w:rsid w:val="00C026D6"/>
    <w:rsid w:val="00C04702"/>
    <w:rsid w:val="00C0681B"/>
    <w:rsid w:val="00C11C53"/>
    <w:rsid w:val="00C20DBC"/>
    <w:rsid w:val="00C24936"/>
    <w:rsid w:val="00C31237"/>
    <w:rsid w:val="00C34B6F"/>
    <w:rsid w:val="00C3535D"/>
    <w:rsid w:val="00C40F29"/>
    <w:rsid w:val="00C462D1"/>
    <w:rsid w:val="00C46B76"/>
    <w:rsid w:val="00C56BCD"/>
    <w:rsid w:val="00C601A1"/>
    <w:rsid w:val="00C60520"/>
    <w:rsid w:val="00C6128D"/>
    <w:rsid w:val="00C62AF4"/>
    <w:rsid w:val="00C64E4F"/>
    <w:rsid w:val="00C66EA1"/>
    <w:rsid w:val="00C72DFF"/>
    <w:rsid w:val="00C73278"/>
    <w:rsid w:val="00C734FA"/>
    <w:rsid w:val="00C73704"/>
    <w:rsid w:val="00C73898"/>
    <w:rsid w:val="00C765C8"/>
    <w:rsid w:val="00C766B7"/>
    <w:rsid w:val="00C82029"/>
    <w:rsid w:val="00C85924"/>
    <w:rsid w:val="00C86ADB"/>
    <w:rsid w:val="00C900F4"/>
    <w:rsid w:val="00C91911"/>
    <w:rsid w:val="00C9283A"/>
    <w:rsid w:val="00C94FF1"/>
    <w:rsid w:val="00C95039"/>
    <w:rsid w:val="00CA1786"/>
    <w:rsid w:val="00CA4615"/>
    <w:rsid w:val="00CA7C6F"/>
    <w:rsid w:val="00CB0D0E"/>
    <w:rsid w:val="00CB2DD6"/>
    <w:rsid w:val="00CB7D66"/>
    <w:rsid w:val="00CC1027"/>
    <w:rsid w:val="00CC2F59"/>
    <w:rsid w:val="00CC308F"/>
    <w:rsid w:val="00CC6A9E"/>
    <w:rsid w:val="00CD3A6F"/>
    <w:rsid w:val="00CD6263"/>
    <w:rsid w:val="00CE1A72"/>
    <w:rsid w:val="00CE53BA"/>
    <w:rsid w:val="00CE7F36"/>
    <w:rsid w:val="00CF136E"/>
    <w:rsid w:val="00CF178C"/>
    <w:rsid w:val="00CF3236"/>
    <w:rsid w:val="00CF4D80"/>
    <w:rsid w:val="00CF7D08"/>
    <w:rsid w:val="00D04A3C"/>
    <w:rsid w:val="00D04EC6"/>
    <w:rsid w:val="00D06826"/>
    <w:rsid w:val="00D06F64"/>
    <w:rsid w:val="00D11DCF"/>
    <w:rsid w:val="00D1297A"/>
    <w:rsid w:val="00D12FDA"/>
    <w:rsid w:val="00D13BFB"/>
    <w:rsid w:val="00D13D07"/>
    <w:rsid w:val="00D209AF"/>
    <w:rsid w:val="00D22097"/>
    <w:rsid w:val="00D267A1"/>
    <w:rsid w:val="00D274B0"/>
    <w:rsid w:val="00D27A60"/>
    <w:rsid w:val="00D3129C"/>
    <w:rsid w:val="00D3371C"/>
    <w:rsid w:val="00D33BAC"/>
    <w:rsid w:val="00D36C41"/>
    <w:rsid w:val="00D36E93"/>
    <w:rsid w:val="00D4039B"/>
    <w:rsid w:val="00D40B83"/>
    <w:rsid w:val="00D416F4"/>
    <w:rsid w:val="00D41D5F"/>
    <w:rsid w:val="00D44778"/>
    <w:rsid w:val="00D50055"/>
    <w:rsid w:val="00D51622"/>
    <w:rsid w:val="00D5487D"/>
    <w:rsid w:val="00D55132"/>
    <w:rsid w:val="00D55A85"/>
    <w:rsid w:val="00D56673"/>
    <w:rsid w:val="00D62382"/>
    <w:rsid w:val="00D64747"/>
    <w:rsid w:val="00D66723"/>
    <w:rsid w:val="00D74087"/>
    <w:rsid w:val="00D750D0"/>
    <w:rsid w:val="00D82C3C"/>
    <w:rsid w:val="00D82E4A"/>
    <w:rsid w:val="00D87480"/>
    <w:rsid w:val="00D900C7"/>
    <w:rsid w:val="00D96494"/>
    <w:rsid w:val="00DA4785"/>
    <w:rsid w:val="00DA510D"/>
    <w:rsid w:val="00DA527F"/>
    <w:rsid w:val="00DA6C06"/>
    <w:rsid w:val="00DB1CDD"/>
    <w:rsid w:val="00DB285D"/>
    <w:rsid w:val="00DB4BBC"/>
    <w:rsid w:val="00DB71FD"/>
    <w:rsid w:val="00DC453F"/>
    <w:rsid w:val="00DC57F0"/>
    <w:rsid w:val="00DC65F9"/>
    <w:rsid w:val="00DC7EDE"/>
    <w:rsid w:val="00DD059C"/>
    <w:rsid w:val="00DD2CD7"/>
    <w:rsid w:val="00DD649C"/>
    <w:rsid w:val="00DE3175"/>
    <w:rsid w:val="00DE4B5B"/>
    <w:rsid w:val="00DE546F"/>
    <w:rsid w:val="00DE5CDE"/>
    <w:rsid w:val="00DE70F9"/>
    <w:rsid w:val="00DF0DDE"/>
    <w:rsid w:val="00DF241E"/>
    <w:rsid w:val="00DF266D"/>
    <w:rsid w:val="00DF6461"/>
    <w:rsid w:val="00E007C3"/>
    <w:rsid w:val="00E00E11"/>
    <w:rsid w:val="00E0117D"/>
    <w:rsid w:val="00E02606"/>
    <w:rsid w:val="00E03131"/>
    <w:rsid w:val="00E044B6"/>
    <w:rsid w:val="00E047F6"/>
    <w:rsid w:val="00E0628F"/>
    <w:rsid w:val="00E07C2C"/>
    <w:rsid w:val="00E12EC5"/>
    <w:rsid w:val="00E134A8"/>
    <w:rsid w:val="00E135BC"/>
    <w:rsid w:val="00E209DA"/>
    <w:rsid w:val="00E23E09"/>
    <w:rsid w:val="00E25A07"/>
    <w:rsid w:val="00E30F35"/>
    <w:rsid w:val="00E31CDE"/>
    <w:rsid w:val="00E333DF"/>
    <w:rsid w:val="00E34C63"/>
    <w:rsid w:val="00E3570C"/>
    <w:rsid w:val="00E36D2B"/>
    <w:rsid w:val="00E44203"/>
    <w:rsid w:val="00E44E91"/>
    <w:rsid w:val="00E465EC"/>
    <w:rsid w:val="00E53D23"/>
    <w:rsid w:val="00E55A30"/>
    <w:rsid w:val="00E56B9A"/>
    <w:rsid w:val="00E61476"/>
    <w:rsid w:val="00E618F7"/>
    <w:rsid w:val="00E67693"/>
    <w:rsid w:val="00E7338D"/>
    <w:rsid w:val="00E75B46"/>
    <w:rsid w:val="00E766B5"/>
    <w:rsid w:val="00E77EB0"/>
    <w:rsid w:val="00E8034E"/>
    <w:rsid w:val="00E80F51"/>
    <w:rsid w:val="00E83C41"/>
    <w:rsid w:val="00E84070"/>
    <w:rsid w:val="00E87842"/>
    <w:rsid w:val="00E87ACD"/>
    <w:rsid w:val="00E95132"/>
    <w:rsid w:val="00E96A51"/>
    <w:rsid w:val="00E9781D"/>
    <w:rsid w:val="00EA0FDB"/>
    <w:rsid w:val="00EA1D5D"/>
    <w:rsid w:val="00EA3C5D"/>
    <w:rsid w:val="00EA5803"/>
    <w:rsid w:val="00EA5D76"/>
    <w:rsid w:val="00EA6D29"/>
    <w:rsid w:val="00EB36C8"/>
    <w:rsid w:val="00EB4322"/>
    <w:rsid w:val="00EB4F98"/>
    <w:rsid w:val="00EC2925"/>
    <w:rsid w:val="00EC3FEF"/>
    <w:rsid w:val="00EC5579"/>
    <w:rsid w:val="00EC5C40"/>
    <w:rsid w:val="00EC65D9"/>
    <w:rsid w:val="00EC6CBF"/>
    <w:rsid w:val="00ED087A"/>
    <w:rsid w:val="00ED1AC7"/>
    <w:rsid w:val="00ED3595"/>
    <w:rsid w:val="00ED40D4"/>
    <w:rsid w:val="00ED699B"/>
    <w:rsid w:val="00ED774B"/>
    <w:rsid w:val="00EE0118"/>
    <w:rsid w:val="00EE49CE"/>
    <w:rsid w:val="00EE4E22"/>
    <w:rsid w:val="00EE4EB1"/>
    <w:rsid w:val="00EE4FCF"/>
    <w:rsid w:val="00EE61E4"/>
    <w:rsid w:val="00EE6EFC"/>
    <w:rsid w:val="00EE77E9"/>
    <w:rsid w:val="00EE7C8D"/>
    <w:rsid w:val="00EF24B1"/>
    <w:rsid w:val="00EF2831"/>
    <w:rsid w:val="00EF3918"/>
    <w:rsid w:val="00F0651A"/>
    <w:rsid w:val="00F217EF"/>
    <w:rsid w:val="00F21BF5"/>
    <w:rsid w:val="00F22EF5"/>
    <w:rsid w:val="00F23AF2"/>
    <w:rsid w:val="00F30006"/>
    <w:rsid w:val="00F30857"/>
    <w:rsid w:val="00F330C3"/>
    <w:rsid w:val="00F353E3"/>
    <w:rsid w:val="00F35D82"/>
    <w:rsid w:val="00F3602D"/>
    <w:rsid w:val="00F375A6"/>
    <w:rsid w:val="00F41203"/>
    <w:rsid w:val="00F43502"/>
    <w:rsid w:val="00F4474C"/>
    <w:rsid w:val="00F45391"/>
    <w:rsid w:val="00F47E25"/>
    <w:rsid w:val="00F504C5"/>
    <w:rsid w:val="00F50621"/>
    <w:rsid w:val="00F522EF"/>
    <w:rsid w:val="00F52875"/>
    <w:rsid w:val="00F60327"/>
    <w:rsid w:val="00F60C2D"/>
    <w:rsid w:val="00F672AE"/>
    <w:rsid w:val="00F70C03"/>
    <w:rsid w:val="00F71BFF"/>
    <w:rsid w:val="00F7395F"/>
    <w:rsid w:val="00F73C22"/>
    <w:rsid w:val="00F748CB"/>
    <w:rsid w:val="00F75F33"/>
    <w:rsid w:val="00F7655C"/>
    <w:rsid w:val="00F80E35"/>
    <w:rsid w:val="00F8197D"/>
    <w:rsid w:val="00F820CB"/>
    <w:rsid w:val="00F82BF6"/>
    <w:rsid w:val="00F83BAD"/>
    <w:rsid w:val="00F83E08"/>
    <w:rsid w:val="00F84236"/>
    <w:rsid w:val="00F85503"/>
    <w:rsid w:val="00F909A0"/>
    <w:rsid w:val="00F94E70"/>
    <w:rsid w:val="00FB0841"/>
    <w:rsid w:val="00FC2CE4"/>
    <w:rsid w:val="00FC379E"/>
    <w:rsid w:val="00FC60CF"/>
    <w:rsid w:val="00FC7538"/>
    <w:rsid w:val="00FD0EC5"/>
    <w:rsid w:val="00FD1663"/>
    <w:rsid w:val="00FD2986"/>
    <w:rsid w:val="00FD337C"/>
    <w:rsid w:val="00FD3BAE"/>
    <w:rsid w:val="00FD5236"/>
    <w:rsid w:val="00FD5EB9"/>
    <w:rsid w:val="00FD7D5B"/>
    <w:rsid w:val="00FE0F23"/>
    <w:rsid w:val="00FF2D8F"/>
  </w:rsids>
  <m:mathPr>
    <m:mathFont m:val="Cambria Math"/>
  </m:mathPr>
  <w:themeFontLang w:val="en-AU"/>
  <w:clrSchemeMapping w:bg1="light1" w:t1="dark1" w:bg2="light2" w:t2="dark2" w:accent1="accent1" w:accent2="accent2" w:accent3="accent3" w:accent4="accent4" w:accent5="accent5" w:accent6="accent6" w:hyperlink="hyperlink" w:followedHyperlink="followedHyperlink"/>
  <w15:docId w15:val="{3B97B3D4-1DD9-421D-A7EC-BB6945D8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6D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hAnsi="Calibri" w:eastAsiaTheme="minorHAns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hAnsi="Calibri" w:eastAsiaTheme="minorEastAsia"/>
      <w:b/>
      <w:bCs/>
      <w:sz w:val="28"/>
      <w:szCs w:val="28"/>
      <w:lang w:eastAsia="ja-JP"/>
    </w:rPr>
  </w:style>
  <w:style w:type="paragraph" w:styleId="Heading3">
    <w:name w:val="heading 3"/>
    <w:next w:val="Normal"/>
    <w:link w:val="Heading3Char"/>
    <w:uiPriority w:val="4"/>
    <w:qFormat/>
    <w:rsid w:val="00CE1A72"/>
    <w:pPr>
      <w:keepNext/>
      <w:keepLines/>
      <w:numPr>
        <w:numId w:val="10"/>
      </w:numPr>
      <w:spacing w:after="120"/>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hAnsi="Calibri" w:eastAsiaTheme="minorHAns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hAnsi="Calibri" w:eastAsiaTheme="minorHAns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hAnsi="Calibri" w:eastAsiaTheme="minorHAns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hAnsi="Calibri" w:eastAsiaTheme="minorHAns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hAnsi="Calibri" w:eastAsiaTheme="minorEastAsia" w:cstheme="minorBidi"/>
      <w:b/>
      <w:bCs/>
      <w:sz w:val="28"/>
      <w:szCs w:val="28"/>
      <w:lang w:eastAsia="ja-JP"/>
    </w:rPr>
  </w:style>
  <w:style w:type="character" w:customStyle="1" w:styleId="Heading3Char">
    <w:name w:val="Heading 3 Char"/>
    <w:basedOn w:val="DefaultParagraphFont"/>
    <w:link w:val="Heading3"/>
    <w:uiPriority w:val="4"/>
    <w:rsid w:val="00CE1A72"/>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hAnsi="Calibri" w:eastAsiaTheme="minorHAns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hAnsi="Calibri" w:eastAsiaTheme="minorHAns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hAnsi="Calibri" w:eastAsiaTheme="minorEastAsia"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700A80"/>
    <w:pPr>
      <w:numPr>
        <w:numId w:val="3"/>
      </w:numPr>
      <w:spacing w:before="120"/>
    </w:pPr>
  </w:style>
  <w:style w:type="paragraph" w:styleId="ListBullet2">
    <w:name w:val="List Bullet 2"/>
    <w:basedOn w:val="Normal"/>
    <w:uiPriority w:val="99"/>
    <w:qFormat/>
    <w:rsid w:val="00700A80"/>
    <w:pPr>
      <w:numPr>
        <w:ilvl w:val="1"/>
        <w:numId w:val="3"/>
      </w:numPr>
      <w:spacing w:before="120"/>
      <w:contextualSpacing/>
    </w:pPr>
  </w:style>
  <w:style w:type="paragraph" w:styleId="ListNumber">
    <w:name w:val="List Number"/>
    <w:basedOn w:val="Normal"/>
    <w:uiPriority w:val="9"/>
    <w:qFormat/>
    <w:rsid w:val="00700A80"/>
    <w:pPr>
      <w:numPr>
        <w:numId w:val="4"/>
      </w:numPr>
      <w:tabs>
        <w:tab w:val="left" w:pos="142"/>
      </w:tabs>
      <w:spacing w:before="120"/>
    </w:pPr>
  </w:style>
  <w:style w:type="paragraph" w:styleId="ListNumber2">
    <w:name w:val="List Number 2"/>
    <w:link w:val="ListNumber2Char"/>
    <w:uiPriority w:val="10"/>
    <w:qFormat/>
    <w:rsid w:val="0072560A"/>
    <w:pPr>
      <w:numPr>
        <w:ilvl w:val="1"/>
        <w:numId w:val="4"/>
      </w:numPr>
      <w:spacing w:before="120" w:after="120" w:line="264" w:lineRule="auto"/>
      <w:ind w:left="284" w:hanging="284"/>
    </w:pPr>
    <w:rPr>
      <w:rFonts w:eastAsia="Times New Roman" w:asciiTheme="minorHAnsi"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eastAsia="Calibri" w:asciiTheme="majorHAns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hAnsi="Tahoma" w:eastAsiaTheme="minorHAnsi"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hAnsi="Calibri Light" w:eastAsiaTheme="minorHAnsi"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6E353E"/>
    <w:pPr>
      <w:numPr>
        <w:numId w:val="7"/>
      </w:numPr>
      <w:spacing w:before="60" w:after="60"/>
      <w:ind w:left="357" w:hanging="357"/>
      <w:contextualSpacing/>
    </w:pPr>
    <w:rPr>
      <w:rFonts w:eastAsia="Calibri" w:asciiTheme="minorHAnsi" w:hAnsiTheme="minorHAnsi"/>
      <w:color w:val="000000" w:themeColor="text1"/>
      <w:sz w:val="19"/>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uiPriority w:val="13"/>
    <w:qFormat/>
    <w:rsid w:val="00201BFB"/>
    <w:pPr>
      <w:spacing w:before="60" w:after="60"/>
    </w:pPr>
    <w:rPr>
      <w:rFonts w:eastAsia="Times New Roman" w:asciiTheme="minorHAnsi"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customStyle="1" w:styleId="UnresolvedMention1">
    <w:name w:val="Unresolved Mention1"/>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700A80"/>
    <w:pPr>
      <w:numPr>
        <w:ilvl w:val="2"/>
        <w:numId w:val="4"/>
      </w:numPr>
      <w:spacing w:before="120" w:after="120" w:line="264" w:lineRule="auto"/>
    </w:pPr>
    <w:rPr>
      <w:rFonts w:eastAsia="Times New Roman" w:asciiTheme="minorHAnsi" w:hAnsiTheme="minorHAnsi"/>
      <w:sz w:val="22"/>
      <w:szCs w:val="24"/>
      <w:lang w:eastAsia="en-US"/>
    </w:rPr>
  </w:style>
  <w:style w:type="numbering" w:customStyle="1" w:styleId="BulletList">
    <w:name w:val="Bullet List"/>
    <w:uiPriority w:val="99"/>
    <w:rsid w:val="009B2A07"/>
    <w:pPr>
      <w:numPr>
        <w:numId w:val="9"/>
      </w:numPr>
    </w:pPr>
  </w:style>
  <w:style w:type="paragraph" w:styleId="ListBullet4">
    <w:name w:val="List Bullet 4"/>
    <w:basedOn w:val="Normal"/>
    <w:uiPriority w:val="99"/>
    <w:unhideWhenUsed/>
    <w:rsid w:val="009B2A07"/>
    <w:pPr>
      <w:spacing w:after="200"/>
      <w:ind w:left="1474" w:hanging="368"/>
    </w:pPr>
    <w:rPr>
      <w:rFonts w:ascii="Arial" w:eastAsia="Calibri" w:hAnsi="Arial" w:cs="Times New Roman"/>
      <w:sz w:val="24"/>
      <w:szCs w:val="24"/>
      <w:lang w:eastAsia="en-AU"/>
    </w:rPr>
  </w:style>
  <w:style w:type="paragraph" w:styleId="ListBullet5">
    <w:name w:val="List Bullet 5"/>
    <w:basedOn w:val="Normal"/>
    <w:uiPriority w:val="99"/>
    <w:unhideWhenUsed/>
    <w:rsid w:val="009B2A07"/>
    <w:pPr>
      <w:spacing w:after="200"/>
      <w:ind w:left="1800" w:hanging="360"/>
    </w:pPr>
    <w:rPr>
      <w:rFonts w:ascii="Arial" w:eastAsia="Calibri" w:hAnsi="Arial" w:cs="Times New Roman"/>
      <w:sz w:val="24"/>
      <w:szCs w:val="24"/>
      <w:lang w:eastAsia="en-AU"/>
    </w:rPr>
  </w:style>
  <w:style w:type="paragraph" w:customStyle="1" w:styleId="listalphabetical">
    <w:name w:val="list alphabetical"/>
    <w:basedOn w:val="ListNumber2"/>
    <w:link w:val="listalphabeticalChar"/>
    <w:qFormat/>
    <w:rsid w:val="0072560A"/>
  </w:style>
  <w:style w:type="character" w:customStyle="1" w:styleId="cf01">
    <w:name w:val="cf01"/>
    <w:basedOn w:val="DefaultParagraphFont"/>
    <w:rsid w:val="00E134A8"/>
    <w:rPr>
      <w:rFonts w:ascii="Segoe UI" w:hAnsi="Segoe UI" w:cs="Segoe UI" w:hint="default"/>
      <w:sz w:val="18"/>
      <w:szCs w:val="18"/>
    </w:rPr>
  </w:style>
  <w:style w:type="character" w:customStyle="1" w:styleId="UnresolvedMention2">
    <w:name w:val="Unresolved Mention2"/>
    <w:basedOn w:val="DefaultParagraphFont"/>
    <w:uiPriority w:val="99"/>
    <w:rsid w:val="006B13D7"/>
    <w:rPr>
      <w:color w:val="605E5C"/>
      <w:shd w:val="clear" w:color="auto" w:fill="E1DFDD"/>
    </w:rPr>
  </w:style>
  <w:style w:type="character" w:customStyle="1" w:styleId="ListNumber2Char">
    <w:name w:val="List Number 2 Char"/>
    <w:basedOn w:val="DefaultParagraphFont"/>
    <w:link w:val="ListNumber2"/>
    <w:uiPriority w:val="10"/>
    <w:rsid w:val="0072560A"/>
    <w:rPr>
      <w:rFonts w:eastAsia="Times New Roman" w:asciiTheme="minorHAnsi" w:hAnsiTheme="minorHAnsi"/>
      <w:sz w:val="22"/>
      <w:szCs w:val="24"/>
      <w:lang w:eastAsia="en-US"/>
    </w:rPr>
  </w:style>
  <w:style w:type="character" w:customStyle="1" w:styleId="UnresolvedMention3">
    <w:name w:val="Unresolved Mention3"/>
    <w:basedOn w:val="DefaultParagraphFont"/>
    <w:uiPriority w:val="99"/>
    <w:rsid w:val="00265975"/>
    <w:rPr>
      <w:color w:val="605E5C"/>
      <w:shd w:val="clear" w:color="auto" w:fill="E1DFDD"/>
    </w:rPr>
  </w:style>
  <w:style w:type="character" w:customStyle="1" w:styleId="UnresolvedMention4">
    <w:name w:val="Unresolved Mention4"/>
    <w:basedOn w:val="DefaultParagraphFont"/>
    <w:uiPriority w:val="99"/>
    <w:rsid w:val="00D5487D"/>
    <w:rPr>
      <w:color w:val="605E5C"/>
      <w:shd w:val="clear" w:color="auto" w:fill="E1DFDD"/>
    </w:rPr>
  </w:style>
  <w:style w:type="character" w:customStyle="1" w:styleId="UnresolvedMention5">
    <w:name w:val="Unresolved Mention5"/>
    <w:basedOn w:val="DefaultParagraphFont"/>
    <w:uiPriority w:val="99"/>
    <w:rsid w:val="00CE1A72"/>
    <w:rPr>
      <w:color w:val="605E5C"/>
      <w:shd w:val="clear" w:color="auto" w:fill="E1DFDD"/>
    </w:rPr>
  </w:style>
  <w:style w:type="character" w:customStyle="1" w:styleId="UnresolvedMention6">
    <w:name w:val="Unresolved Mention6"/>
    <w:basedOn w:val="DefaultParagraphFont"/>
    <w:uiPriority w:val="99"/>
    <w:rsid w:val="000D35BF"/>
    <w:rPr>
      <w:color w:val="605E5C"/>
      <w:shd w:val="clear" w:color="auto" w:fill="E1DFDD"/>
    </w:rPr>
  </w:style>
  <w:style w:type="character" w:customStyle="1" w:styleId="ui-provider">
    <w:name w:val="ui-provider"/>
    <w:basedOn w:val="DefaultParagraphFont"/>
    <w:rsid w:val="001B3270"/>
  </w:style>
  <w:style w:type="numbering" w:customStyle="1" w:styleId="Listlevel1">
    <w:name w:val="List level 1"/>
    <w:basedOn w:val="Numberlist"/>
    <w:uiPriority w:val="99"/>
    <w:rsid w:val="0072560A"/>
    <w:pPr>
      <w:numPr>
        <w:numId w:val="36"/>
      </w:numPr>
    </w:pPr>
  </w:style>
  <w:style w:type="character" w:customStyle="1" w:styleId="listalphabeticalChar">
    <w:name w:val="list alphabetical Char"/>
    <w:basedOn w:val="ListNumber2Char"/>
    <w:link w:val="listalphabetical"/>
    <w:rsid w:val="0072560A"/>
    <w:rPr>
      <w:rFonts w:eastAsia="Times New Roman" w:asciiTheme="minorHAnsi" w:hAnsiTheme="minorHAnsi"/>
      <w:sz w:val="22"/>
      <w:szCs w:val="24"/>
      <w:lang w:eastAsia="en-US"/>
    </w:rPr>
  </w:style>
  <w:style w:type="paragraph" w:styleId="ListParagraph">
    <w:name w:val="List Paragraph"/>
    <w:basedOn w:val="Normal"/>
    <w:uiPriority w:val="34"/>
    <w:rsid w:val="006E1561"/>
    <w:pPr>
      <w:ind w:left="720"/>
      <w:contextualSpacing/>
    </w:pPr>
  </w:style>
  <w:style w:type="character" w:customStyle="1" w:styleId="UnresolvedMention7">
    <w:name w:val="Unresolved Mention7"/>
    <w:basedOn w:val="DefaultParagraphFont"/>
    <w:uiPriority w:val="99"/>
    <w:rsid w:val="00356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81c01dc6-2c49-4730-b140-874c95cac377"/>
    <ds:schemaRef ds:uri="2b53c995-2120-4bc0-8922-c25044d37f65"/>
  </ds:schemaRefs>
</ds:datastoreItem>
</file>

<file path=customXml/itemProps2.xml><?xml version="1.0" encoding="utf-8"?>
<ds:datastoreItem xmlns:ds="http://schemas.openxmlformats.org/officeDocument/2006/customXml" ds:itemID="{F3E224C8-BE23-4698-A848-A1DB2D78C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9379</Words>
  <Characters>53462</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Kerr, Annie</cp:lastModifiedBy>
  <cp:revision>1</cp:revision>
  <cp:lastPrinted>1899-12-30T00:00:00Z</cp:lastPrinted>
  <dcterms:created xsi:type="dcterms:W3CDTF">2023-11-26T22:43:42Z</dcterms:created>
  <dcterms:modified xsi:type="dcterms:W3CDTF">2023-11-26T22:43:42Z</dcterms:modified>
</cp:coreProperties>
</file>