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B2DD0" w14:textId="730ABBB1" w:rsidR="00B82095" w:rsidRPr="000170A9" w:rsidRDefault="00FD1BDD" w:rsidP="009B6EBB">
      <w:pPr>
        <w:pStyle w:val="Heading1"/>
        <w:spacing w:before="840"/>
        <w:rPr>
          <w:sz w:val="44"/>
          <w:szCs w:val="32"/>
        </w:rPr>
      </w:pPr>
      <w:r w:rsidRPr="000170A9">
        <w:t>2024</w:t>
      </w:r>
      <w:r w:rsidR="004704C5">
        <w:t>–</w:t>
      </w:r>
      <w:r w:rsidRPr="000170A9">
        <w:t xml:space="preserve">25 </w:t>
      </w:r>
      <w:r w:rsidR="00816A43" w:rsidRPr="000170A9">
        <w:t xml:space="preserve">charges </w:t>
      </w:r>
      <w:r w:rsidR="00A7474D" w:rsidRPr="000170A9">
        <w:rPr>
          <w:shd w:val="clear" w:color="auto" w:fill="FFFFFF"/>
        </w:rPr>
        <w:t xml:space="preserve">for treatments </w:t>
      </w:r>
      <w:r w:rsidR="00E80363">
        <w:rPr>
          <w:shd w:val="clear" w:color="auto" w:fill="FFFFFF"/>
        </w:rPr>
        <w:t>in the mail and traveller pathways</w:t>
      </w:r>
      <w:r w:rsidR="008B13CA">
        <w:rPr>
          <w:shd w:val="clear" w:color="auto" w:fill="FFFFFF"/>
        </w:rPr>
        <w:t>,</w:t>
      </w:r>
      <w:r w:rsidR="00E80363">
        <w:rPr>
          <w:shd w:val="clear" w:color="auto" w:fill="FFFFFF"/>
        </w:rPr>
        <w:t xml:space="preserve"> </w:t>
      </w:r>
      <w:r w:rsidR="00A7474D" w:rsidRPr="000170A9">
        <w:rPr>
          <w:shd w:val="clear" w:color="auto" w:fill="FFFFFF"/>
        </w:rPr>
        <w:t>and storage fees for exports with a traveller</w:t>
      </w:r>
      <w:r w:rsidR="00E80363">
        <w:rPr>
          <w:shd w:val="clear" w:color="auto" w:fill="FFFFFF"/>
        </w:rPr>
        <w:t>,</w:t>
      </w:r>
      <w:r w:rsidR="00816A43" w:rsidRPr="000170A9">
        <w:t xml:space="preserve"> from</w:t>
      </w:r>
      <w:r w:rsidR="00CC214A" w:rsidRPr="000170A9">
        <w:t xml:space="preserve"> </w:t>
      </w:r>
      <w:r w:rsidR="00816A43" w:rsidRPr="000170A9">
        <w:t>1</w:t>
      </w:r>
      <w:r w:rsidR="004704C5">
        <w:t> </w:t>
      </w:r>
      <w:r w:rsidR="00816A43" w:rsidRPr="000170A9">
        <w:t>July</w:t>
      </w:r>
      <w:r w:rsidR="004704C5">
        <w:t> </w:t>
      </w:r>
      <w:r w:rsidR="00816A43" w:rsidRPr="000170A9">
        <w:t>2024</w:t>
      </w:r>
    </w:p>
    <w:p w14:paraId="19FBBCFC" w14:textId="42DA2C63" w:rsidR="00FD1BDD" w:rsidRDefault="00E80363" w:rsidP="00FD1BDD">
      <w:pPr>
        <w:pStyle w:val="Heading2"/>
      </w:pPr>
      <w:bookmarkStart w:id="0" w:name="_Hlk163645417"/>
      <w:bookmarkStart w:id="1" w:name="_Hlk170106629"/>
      <w:r>
        <w:t>C</w:t>
      </w:r>
      <w:r w:rsidR="00FD1BDD" w:rsidRPr="00816A43">
        <w:t>harges for biosecurity regulatory activity from 1 July 2024</w:t>
      </w:r>
    </w:p>
    <w:bookmarkEnd w:id="0"/>
    <w:bookmarkEnd w:id="1"/>
    <w:p w14:paraId="6FB95183" w14:textId="4D38F30D" w:rsidR="00B82095" w:rsidRPr="00411260" w:rsidRDefault="00BA7C58" w:rsidP="00816A43">
      <w:pPr>
        <w:tabs>
          <w:tab w:val="left" w:pos="6135"/>
        </w:tabs>
      </w:pPr>
      <w:r>
        <w:fldChar w:fldCharType="begin"/>
      </w:r>
      <w:r>
        <w:instrText xml:space="preserve"> REF _Ref163637138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  <w:r w:rsidR="00F76852">
        <w:t xml:space="preserve"> </w:t>
      </w:r>
      <w:r w:rsidR="00816A43">
        <w:t xml:space="preserve">sets out the indexed prices for </w:t>
      </w:r>
      <w:r w:rsidR="00B37E04">
        <w:t>biosecurity</w:t>
      </w:r>
      <w:r w:rsidR="00816A43">
        <w:t xml:space="preserve"> activities commencing 1 July 2024.</w:t>
      </w:r>
    </w:p>
    <w:p w14:paraId="5F2BB642" w14:textId="38AECC1F" w:rsidR="00C44DD8" w:rsidRDefault="00961F7F" w:rsidP="00961F7F">
      <w:pPr>
        <w:pStyle w:val="Caption"/>
      </w:pPr>
      <w:bookmarkStart w:id="2" w:name="_Ref16363713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86A5B">
        <w:rPr>
          <w:noProof/>
        </w:rPr>
        <w:t>1</w:t>
      </w:r>
      <w:r>
        <w:fldChar w:fldCharType="end"/>
      </w:r>
      <w:bookmarkEnd w:id="2"/>
      <w:r>
        <w:t xml:space="preserve"> </w:t>
      </w:r>
      <w:r w:rsidRPr="008B148D">
        <w:t xml:space="preserve">Indexed charges for </w:t>
      </w:r>
      <w:r w:rsidR="00A7474D">
        <w:t>treatments and storage fees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4011"/>
        <w:gridCol w:w="1395"/>
        <w:gridCol w:w="1384"/>
        <w:gridCol w:w="964"/>
      </w:tblGrid>
      <w:tr w:rsidR="00C44DD8" w14:paraId="65AD18A5" w14:textId="2ED31B32" w:rsidTr="00E80363">
        <w:trPr>
          <w:cantSplit/>
          <w:tblHeader/>
        </w:trPr>
        <w:tc>
          <w:tcPr>
            <w:tcW w:w="881" w:type="pct"/>
          </w:tcPr>
          <w:bookmarkStart w:id="3" w:name="Title_1"/>
          <w:bookmarkEnd w:id="3"/>
          <w:p w14:paraId="7339BC7B" w14:textId="084F6CFC" w:rsidR="00C44DD8" w:rsidRPr="00BA7C58" w:rsidRDefault="00D2429D" w:rsidP="00BA7C58">
            <w:pPr>
              <w:pStyle w:val="TableHeading"/>
              <w:rPr>
                <w:rStyle w:val="Strong"/>
                <w:b/>
                <w:bCs w:val="0"/>
              </w:rPr>
            </w:pPr>
            <w:r w:rsidRPr="00BA7C58">
              <w:rPr>
                <w:rStyle w:val="Strong"/>
                <w:b/>
                <w:bCs w:val="0"/>
              </w:rPr>
              <w:fldChar w:fldCharType="begin"/>
            </w:r>
            <w:r w:rsidRPr="00BA7C58">
              <w:rPr>
                <w:rStyle w:val="Strong"/>
                <w:b/>
                <w:bCs w:val="0"/>
              </w:rPr>
              <w:instrText xml:space="preserve"> REF Title_1 \h </w:instrText>
            </w:r>
            <w:r w:rsidR="00A7474D" w:rsidRPr="00BA7C58">
              <w:rPr>
                <w:rStyle w:val="Strong"/>
                <w:b/>
                <w:bCs w:val="0"/>
              </w:rPr>
              <w:instrText xml:space="preserve"> \* MERGEFORMAT </w:instrText>
            </w:r>
            <w:r w:rsidRPr="00BA7C58">
              <w:rPr>
                <w:rStyle w:val="Strong"/>
                <w:b/>
                <w:bCs w:val="0"/>
              </w:rPr>
            </w:r>
            <w:r w:rsidRPr="00BA7C58">
              <w:rPr>
                <w:rStyle w:val="Strong"/>
                <w:b/>
                <w:bCs w:val="0"/>
              </w:rPr>
              <w:fldChar w:fldCharType="end"/>
            </w:r>
            <w:r w:rsidR="00E80363">
              <w:rPr>
                <w:rStyle w:val="Strong"/>
                <w:b/>
                <w:bCs w:val="0"/>
              </w:rPr>
              <w:t>C</w:t>
            </w:r>
            <w:r w:rsidR="00C44DD8" w:rsidRPr="00BA7C58">
              <w:rPr>
                <w:rStyle w:val="Strong"/>
                <w:b/>
                <w:bCs w:val="0"/>
              </w:rPr>
              <w:t>harge</w:t>
            </w:r>
            <w:r w:rsidR="00E80363">
              <w:rPr>
                <w:rStyle w:val="Strong"/>
                <w:b/>
                <w:bCs w:val="0"/>
              </w:rPr>
              <w:t xml:space="preserve"> </w:t>
            </w:r>
            <w:r w:rsidR="00E80363">
              <w:rPr>
                <w:rStyle w:val="Strong"/>
                <w:b/>
              </w:rPr>
              <w:t>pathway</w:t>
            </w:r>
          </w:p>
        </w:tc>
        <w:tc>
          <w:tcPr>
            <w:tcW w:w="2131" w:type="pct"/>
          </w:tcPr>
          <w:p w14:paraId="09009F04" w14:textId="4AADF016" w:rsidR="00C44DD8" w:rsidRPr="00BA7C58" w:rsidRDefault="00C44DD8" w:rsidP="00BA7C58">
            <w:pPr>
              <w:pStyle w:val="TableHeading"/>
              <w:rPr>
                <w:rStyle w:val="Strong"/>
                <w:b/>
                <w:bCs w:val="0"/>
              </w:rPr>
            </w:pPr>
            <w:r w:rsidRPr="00BA7C58">
              <w:rPr>
                <w:rStyle w:val="Strong"/>
                <w:b/>
                <w:bCs w:val="0"/>
              </w:rPr>
              <w:t>Charge point</w:t>
            </w:r>
          </w:p>
        </w:tc>
        <w:tc>
          <w:tcPr>
            <w:tcW w:w="741" w:type="pct"/>
          </w:tcPr>
          <w:p w14:paraId="77E11851" w14:textId="0DE05BD4" w:rsidR="00C44DD8" w:rsidRPr="00BA7C58" w:rsidRDefault="00C44DD8" w:rsidP="00BA7C58">
            <w:pPr>
              <w:pStyle w:val="TableHeading"/>
              <w:rPr>
                <w:rStyle w:val="Strong"/>
                <w:b/>
                <w:bCs w:val="0"/>
              </w:rPr>
            </w:pPr>
            <w:r w:rsidRPr="00BA7C58">
              <w:rPr>
                <w:rStyle w:val="Strong"/>
                <w:b/>
                <w:bCs w:val="0"/>
              </w:rPr>
              <w:t>Unit</w:t>
            </w:r>
          </w:p>
        </w:tc>
        <w:tc>
          <w:tcPr>
            <w:tcW w:w="735" w:type="pct"/>
          </w:tcPr>
          <w:p w14:paraId="116EE0A7" w14:textId="3F8D7605" w:rsidR="00C44DD8" w:rsidRPr="00BA7C58" w:rsidRDefault="00C44DD8" w:rsidP="00BA7C58">
            <w:pPr>
              <w:pStyle w:val="TableHeading"/>
              <w:rPr>
                <w:rStyle w:val="Strong"/>
                <w:b/>
                <w:bCs w:val="0"/>
              </w:rPr>
            </w:pPr>
            <w:r w:rsidRPr="00BA7C58">
              <w:rPr>
                <w:rStyle w:val="Strong"/>
                <w:b/>
                <w:bCs w:val="0"/>
              </w:rPr>
              <w:t xml:space="preserve">Pre-indexed </w:t>
            </w:r>
            <w:r w:rsidR="004704C5">
              <w:rPr>
                <w:rStyle w:val="Strong"/>
                <w:b/>
                <w:bCs w:val="0"/>
              </w:rPr>
              <w:t>p</w:t>
            </w:r>
            <w:r w:rsidRPr="00BA7C58">
              <w:rPr>
                <w:rStyle w:val="Strong"/>
                <w:b/>
                <w:bCs w:val="0"/>
              </w:rPr>
              <w:t>rice ($)</w:t>
            </w:r>
          </w:p>
        </w:tc>
        <w:tc>
          <w:tcPr>
            <w:tcW w:w="512" w:type="pct"/>
          </w:tcPr>
          <w:p w14:paraId="73C72B7F" w14:textId="30F5819F" w:rsidR="00C44DD8" w:rsidRPr="00BA7C58" w:rsidRDefault="00C44DD8" w:rsidP="00BA7C58">
            <w:pPr>
              <w:pStyle w:val="TableHeading"/>
              <w:rPr>
                <w:rStyle w:val="Strong"/>
                <w:b/>
                <w:bCs w:val="0"/>
              </w:rPr>
            </w:pPr>
            <w:r w:rsidRPr="00BA7C58">
              <w:rPr>
                <w:rStyle w:val="Strong"/>
                <w:b/>
                <w:bCs w:val="0"/>
              </w:rPr>
              <w:t>Indexed</w:t>
            </w:r>
            <w:r w:rsidR="00F17081" w:rsidRPr="00BA7C58">
              <w:rPr>
                <w:rStyle w:val="Strong"/>
                <w:b/>
                <w:bCs w:val="0"/>
              </w:rPr>
              <w:t xml:space="preserve"> </w:t>
            </w:r>
            <w:r w:rsidR="004704C5">
              <w:rPr>
                <w:rStyle w:val="Strong"/>
                <w:b/>
                <w:bCs w:val="0"/>
              </w:rPr>
              <w:t>p</w:t>
            </w:r>
            <w:r w:rsidRPr="00BA7C58">
              <w:rPr>
                <w:rStyle w:val="Strong"/>
                <w:b/>
                <w:bCs w:val="0"/>
              </w:rPr>
              <w:t>rice ($)</w:t>
            </w:r>
          </w:p>
        </w:tc>
      </w:tr>
      <w:tr w:rsidR="00E80363" w14:paraId="1FF91B22" w14:textId="3ADC9B47" w:rsidTr="00E80363">
        <w:tc>
          <w:tcPr>
            <w:tcW w:w="881" w:type="pct"/>
          </w:tcPr>
          <w:p w14:paraId="3C9751B3" w14:textId="10706E3A" w:rsidR="00E80363" w:rsidRDefault="00E80363" w:rsidP="00056631">
            <w:pPr>
              <w:pStyle w:val="TableText"/>
            </w:pPr>
            <w:r>
              <w:t>International Mail</w:t>
            </w:r>
          </w:p>
        </w:tc>
        <w:tc>
          <w:tcPr>
            <w:tcW w:w="2131" w:type="pct"/>
          </w:tcPr>
          <w:p w14:paraId="14261F1D" w14:textId="557A8880" w:rsidR="00E80363" w:rsidRDefault="00E80363" w:rsidP="00056631">
            <w:pPr>
              <w:pStyle w:val="TableText"/>
            </w:pPr>
            <w:r w:rsidRPr="00FA291D">
              <w:t xml:space="preserve">Treatment </w:t>
            </w:r>
            <w:r>
              <w:t>–</w:t>
            </w:r>
            <w:r w:rsidRPr="00FA291D">
              <w:t xml:space="preserve"> Ethylene Oxide</w:t>
            </w:r>
          </w:p>
        </w:tc>
        <w:tc>
          <w:tcPr>
            <w:tcW w:w="741" w:type="pct"/>
          </w:tcPr>
          <w:p w14:paraId="15846245" w14:textId="0A1B8730" w:rsidR="00E80363" w:rsidRDefault="00E80363" w:rsidP="00056631">
            <w:pPr>
              <w:pStyle w:val="TableText"/>
            </w:pPr>
            <w:r w:rsidRPr="000920AA">
              <w:t xml:space="preserve">Per </w:t>
            </w:r>
            <w:r>
              <w:t>treatment</w:t>
            </w:r>
          </w:p>
        </w:tc>
        <w:tc>
          <w:tcPr>
            <w:tcW w:w="735" w:type="pct"/>
          </w:tcPr>
          <w:p w14:paraId="12BAB687" w14:textId="1D9BC9E3" w:rsidR="00E80363" w:rsidRDefault="00E80363" w:rsidP="00056631">
            <w:pPr>
              <w:pStyle w:val="TableText"/>
              <w:jc w:val="right"/>
            </w:pPr>
            <w:r>
              <w:t>90</w:t>
            </w:r>
          </w:p>
        </w:tc>
        <w:tc>
          <w:tcPr>
            <w:tcW w:w="512" w:type="pct"/>
          </w:tcPr>
          <w:p w14:paraId="3C3DBB40" w14:textId="3B3FCC1E" w:rsidR="00E80363" w:rsidRDefault="00E80363" w:rsidP="00056631">
            <w:pPr>
              <w:pStyle w:val="TableText"/>
              <w:jc w:val="right"/>
            </w:pPr>
            <w:r>
              <w:t>94</w:t>
            </w:r>
          </w:p>
        </w:tc>
      </w:tr>
      <w:tr w:rsidR="00E80363" w14:paraId="49692EE4" w14:textId="27455287" w:rsidTr="00E80363">
        <w:tc>
          <w:tcPr>
            <w:tcW w:w="881" w:type="pct"/>
          </w:tcPr>
          <w:p w14:paraId="3292A2C5" w14:textId="60E4FF27" w:rsidR="00E80363" w:rsidRDefault="00E80363" w:rsidP="00056631">
            <w:pPr>
              <w:pStyle w:val="TableText"/>
            </w:pPr>
            <w:r>
              <w:t>International Mail</w:t>
            </w:r>
          </w:p>
        </w:tc>
        <w:tc>
          <w:tcPr>
            <w:tcW w:w="2131" w:type="pct"/>
          </w:tcPr>
          <w:p w14:paraId="3E7B3AFB" w14:textId="58D38B3D" w:rsidR="00E80363" w:rsidRDefault="00E80363" w:rsidP="00056631">
            <w:pPr>
              <w:pStyle w:val="TableText"/>
            </w:pPr>
            <w:r w:rsidRPr="00FA291D">
              <w:t xml:space="preserve">Treatment </w:t>
            </w:r>
            <w:r>
              <w:t>–</w:t>
            </w:r>
            <w:r w:rsidRPr="00FA291D">
              <w:t xml:space="preserve"> Fumigation Treatment</w:t>
            </w:r>
          </w:p>
        </w:tc>
        <w:tc>
          <w:tcPr>
            <w:tcW w:w="741" w:type="pct"/>
          </w:tcPr>
          <w:p w14:paraId="189279BD" w14:textId="087D344F" w:rsidR="00E80363" w:rsidRDefault="00E80363" w:rsidP="00056631">
            <w:pPr>
              <w:pStyle w:val="TableText"/>
            </w:pPr>
            <w:r w:rsidRPr="000920AA">
              <w:t xml:space="preserve">Per </w:t>
            </w:r>
            <w:r>
              <w:t>treatment</w:t>
            </w:r>
          </w:p>
        </w:tc>
        <w:tc>
          <w:tcPr>
            <w:tcW w:w="735" w:type="pct"/>
          </w:tcPr>
          <w:p w14:paraId="4655173C" w14:textId="6FEF44C4" w:rsidR="00E80363" w:rsidRDefault="00E80363" w:rsidP="00056631">
            <w:pPr>
              <w:pStyle w:val="TableText"/>
              <w:jc w:val="right"/>
            </w:pPr>
            <w:r>
              <w:t>90</w:t>
            </w:r>
          </w:p>
        </w:tc>
        <w:tc>
          <w:tcPr>
            <w:tcW w:w="512" w:type="pct"/>
          </w:tcPr>
          <w:p w14:paraId="297BDB70" w14:textId="0889762C" w:rsidR="00E80363" w:rsidRDefault="00E80363" w:rsidP="00056631">
            <w:pPr>
              <w:pStyle w:val="TableText"/>
              <w:jc w:val="right"/>
            </w:pPr>
            <w:r>
              <w:t>94</w:t>
            </w:r>
          </w:p>
        </w:tc>
      </w:tr>
      <w:tr w:rsidR="00E80363" w14:paraId="3EC07896" w14:textId="0F9E1BBA" w:rsidTr="00E80363">
        <w:tc>
          <w:tcPr>
            <w:tcW w:w="881" w:type="pct"/>
          </w:tcPr>
          <w:p w14:paraId="6338AF5A" w14:textId="4C1D6F15" w:rsidR="00E80363" w:rsidRDefault="00E80363" w:rsidP="00056631">
            <w:pPr>
              <w:pStyle w:val="TableText"/>
            </w:pPr>
            <w:r>
              <w:t>International Mail</w:t>
            </w:r>
          </w:p>
        </w:tc>
        <w:tc>
          <w:tcPr>
            <w:tcW w:w="2131" w:type="pct"/>
          </w:tcPr>
          <w:p w14:paraId="10ABF753" w14:textId="46917CD9" w:rsidR="00E80363" w:rsidRDefault="00E80363" w:rsidP="00056631">
            <w:pPr>
              <w:pStyle w:val="TableText"/>
            </w:pPr>
            <w:r w:rsidRPr="00FA291D">
              <w:t xml:space="preserve">Treatment </w:t>
            </w:r>
            <w:r>
              <w:t>–</w:t>
            </w:r>
            <w:r w:rsidRPr="00FA291D">
              <w:t xml:space="preserve"> Gamma Irradiation Treatment</w:t>
            </w:r>
          </w:p>
        </w:tc>
        <w:tc>
          <w:tcPr>
            <w:tcW w:w="741" w:type="pct"/>
          </w:tcPr>
          <w:p w14:paraId="303BE6A6" w14:textId="593CCA37" w:rsidR="00E80363" w:rsidRDefault="00E80363" w:rsidP="00056631">
            <w:pPr>
              <w:pStyle w:val="TableText"/>
            </w:pPr>
            <w:r w:rsidRPr="000920AA">
              <w:t xml:space="preserve">Per </w:t>
            </w:r>
            <w:r>
              <w:t>treatment</w:t>
            </w:r>
          </w:p>
        </w:tc>
        <w:tc>
          <w:tcPr>
            <w:tcW w:w="735" w:type="pct"/>
          </w:tcPr>
          <w:p w14:paraId="050C2A54" w14:textId="1D7B7DD9" w:rsidR="00E80363" w:rsidRDefault="00E80363" w:rsidP="00056631">
            <w:pPr>
              <w:pStyle w:val="TableText"/>
              <w:jc w:val="right"/>
            </w:pPr>
            <w:r>
              <w:t>90</w:t>
            </w:r>
          </w:p>
        </w:tc>
        <w:tc>
          <w:tcPr>
            <w:tcW w:w="512" w:type="pct"/>
          </w:tcPr>
          <w:p w14:paraId="3F9A5F59" w14:textId="19534302" w:rsidR="00E80363" w:rsidRDefault="00E80363" w:rsidP="00056631">
            <w:pPr>
              <w:pStyle w:val="TableText"/>
              <w:jc w:val="right"/>
            </w:pPr>
            <w:r>
              <w:t>94</w:t>
            </w:r>
          </w:p>
        </w:tc>
      </w:tr>
      <w:tr w:rsidR="00E80363" w14:paraId="1E273A52" w14:textId="2048BCB0" w:rsidTr="00E80363">
        <w:tc>
          <w:tcPr>
            <w:tcW w:w="881" w:type="pct"/>
          </w:tcPr>
          <w:p w14:paraId="78DEE270" w14:textId="203B5265" w:rsidR="00E80363" w:rsidRDefault="00E80363" w:rsidP="00056631">
            <w:pPr>
              <w:pStyle w:val="TableText"/>
            </w:pPr>
            <w:r>
              <w:t>International Mail</w:t>
            </w:r>
          </w:p>
        </w:tc>
        <w:tc>
          <w:tcPr>
            <w:tcW w:w="2131" w:type="pct"/>
          </w:tcPr>
          <w:p w14:paraId="19A1DBA0" w14:textId="566F7AEE" w:rsidR="00E80363" w:rsidRDefault="00E80363" w:rsidP="00056631">
            <w:pPr>
              <w:pStyle w:val="TableText"/>
            </w:pPr>
            <w:r w:rsidRPr="00FA291D">
              <w:t xml:space="preserve">Treatment </w:t>
            </w:r>
            <w:r>
              <w:t>–</w:t>
            </w:r>
            <w:r w:rsidRPr="00FA291D">
              <w:t xml:space="preserve"> Heat Treatment</w:t>
            </w:r>
          </w:p>
        </w:tc>
        <w:tc>
          <w:tcPr>
            <w:tcW w:w="741" w:type="pct"/>
          </w:tcPr>
          <w:p w14:paraId="71734331" w14:textId="0F2435BC" w:rsidR="00E80363" w:rsidRDefault="00E80363" w:rsidP="00056631">
            <w:pPr>
              <w:pStyle w:val="TableText"/>
            </w:pPr>
            <w:r w:rsidRPr="000920AA">
              <w:t xml:space="preserve">Per </w:t>
            </w:r>
            <w:r>
              <w:t>treatment</w:t>
            </w:r>
          </w:p>
        </w:tc>
        <w:tc>
          <w:tcPr>
            <w:tcW w:w="735" w:type="pct"/>
          </w:tcPr>
          <w:p w14:paraId="6DE5A63C" w14:textId="1CCF9FCB" w:rsidR="00E80363" w:rsidRDefault="00E80363" w:rsidP="00056631">
            <w:pPr>
              <w:pStyle w:val="TableText"/>
              <w:jc w:val="right"/>
            </w:pPr>
            <w:r>
              <w:t>90</w:t>
            </w:r>
          </w:p>
        </w:tc>
        <w:tc>
          <w:tcPr>
            <w:tcW w:w="512" w:type="pct"/>
          </w:tcPr>
          <w:p w14:paraId="217B803C" w14:textId="14C34816" w:rsidR="00E80363" w:rsidRDefault="00E80363" w:rsidP="00056631">
            <w:pPr>
              <w:pStyle w:val="TableText"/>
              <w:jc w:val="right"/>
            </w:pPr>
            <w:r>
              <w:t>94</w:t>
            </w:r>
          </w:p>
        </w:tc>
      </w:tr>
      <w:tr w:rsidR="00E80363" w14:paraId="13E87A75" w14:textId="19F33E8A" w:rsidTr="00E80363">
        <w:tc>
          <w:tcPr>
            <w:tcW w:w="881" w:type="pct"/>
          </w:tcPr>
          <w:p w14:paraId="61F50C44" w14:textId="1ED4B766" w:rsidR="00E80363" w:rsidRDefault="00E80363" w:rsidP="00056631">
            <w:pPr>
              <w:pStyle w:val="TableText"/>
            </w:pPr>
            <w:r>
              <w:t>International Mail</w:t>
            </w:r>
          </w:p>
        </w:tc>
        <w:tc>
          <w:tcPr>
            <w:tcW w:w="2131" w:type="pct"/>
          </w:tcPr>
          <w:p w14:paraId="10E47A8D" w14:textId="0DCBDE19" w:rsidR="00E80363" w:rsidRDefault="00E80363" w:rsidP="00056631">
            <w:pPr>
              <w:pStyle w:val="TableText"/>
            </w:pPr>
            <w:r w:rsidRPr="00FA291D">
              <w:t xml:space="preserve">Treatment </w:t>
            </w:r>
            <w:r>
              <w:t>–</w:t>
            </w:r>
            <w:r w:rsidRPr="00FA291D">
              <w:t xml:space="preserve"> Re-export/Return to sender</w:t>
            </w:r>
          </w:p>
        </w:tc>
        <w:tc>
          <w:tcPr>
            <w:tcW w:w="741" w:type="pct"/>
          </w:tcPr>
          <w:p w14:paraId="283E31A4" w14:textId="62E5D072" w:rsidR="00E80363" w:rsidRDefault="00E80363" w:rsidP="00056631">
            <w:pPr>
              <w:pStyle w:val="TableText"/>
            </w:pPr>
            <w:r w:rsidRPr="000920AA">
              <w:t xml:space="preserve">Per </w:t>
            </w:r>
            <w:r>
              <w:t>treatment</w:t>
            </w:r>
          </w:p>
        </w:tc>
        <w:tc>
          <w:tcPr>
            <w:tcW w:w="735" w:type="pct"/>
          </w:tcPr>
          <w:p w14:paraId="75031FD1" w14:textId="6DF7AEBF" w:rsidR="00E80363" w:rsidRDefault="00E80363" w:rsidP="00056631">
            <w:pPr>
              <w:pStyle w:val="TableText"/>
              <w:jc w:val="right"/>
            </w:pPr>
            <w:r>
              <w:t>115</w:t>
            </w:r>
          </w:p>
        </w:tc>
        <w:tc>
          <w:tcPr>
            <w:tcW w:w="512" w:type="pct"/>
          </w:tcPr>
          <w:p w14:paraId="23B2E537" w14:textId="15842DC4" w:rsidR="00E80363" w:rsidRDefault="00E80363" w:rsidP="00056631">
            <w:pPr>
              <w:pStyle w:val="TableText"/>
              <w:jc w:val="right"/>
            </w:pPr>
            <w:r>
              <w:t>120</w:t>
            </w:r>
          </w:p>
        </w:tc>
      </w:tr>
      <w:tr w:rsidR="00E80363" w14:paraId="2F0C0D3C" w14:textId="2110217C" w:rsidTr="00E80363">
        <w:tc>
          <w:tcPr>
            <w:tcW w:w="881" w:type="pct"/>
          </w:tcPr>
          <w:p w14:paraId="58AE92C6" w14:textId="3EA00089" w:rsidR="00E80363" w:rsidRDefault="00E80363" w:rsidP="00056631">
            <w:pPr>
              <w:pStyle w:val="TableText"/>
            </w:pPr>
            <w:r>
              <w:t>Travellers</w:t>
            </w:r>
          </w:p>
        </w:tc>
        <w:tc>
          <w:tcPr>
            <w:tcW w:w="2131" w:type="pct"/>
            <w:vAlign w:val="bottom"/>
          </w:tcPr>
          <w:p w14:paraId="3C419F94" w14:textId="61140C31" w:rsidR="00E80363" w:rsidRDefault="00E80363" w:rsidP="00056631">
            <w:pPr>
              <w:pStyle w:val="TableText"/>
            </w:pPr>
            <w:r w:rsidRPr="00AC6230">
              <w:t xml:space="preserve">Treatment </w:t>
            </w:r>
            <w:r>
              <w:t>–</w:t>
            </w:r>
            <w:r w:rsidRPr="00AC6230">
              <w:t xml:space="preserve"> Super/Perf </w:t>
            </w:r>
            <w:proofErr w:type="spellStart"/>
            <w:r w:rsidRPr="00AC6230">
              <w:t>Fum</w:t>
            </w:r>
            <w:proofErr w:type="spellEnd"/>
            <w:r w:rsidRPr="00AC6230">
              <w:t>/Treat</w:t>
            </w:r>
          </w:p>
        </w:tc>
        <w:tc>
          <w:tcPr>
            <w:tcW w:w="741" w:type="pct"/>
          </w:tcPr>
          <w:p w14:paraId="3C93CEF3" w14:textId="5D948239" w:rsidR="00E80363" w:rsidRDefault="00E80363" w:rsidP="00056631">
            <w:pPr>
              <w:pStyle w:val="TableText"/>
            </w:pPr>
            <w:r w:rsidRPr="000920AA">
              <w:t xml:space="preserve">Per </w:t>
            </w:r>
            <w:r>
              <w:t>treatment</w:t>
            </w:r>
          </w:p>
        </w:tc>
        <w:tc>
          <w:tcPr>
            <w:tcW w:w="735" w:type="pct"/>
          </w:tcPr>
          <w:p w14:paraId="0D77267C" w14:textId="66EEE816" w:rsidR="00E80363" w:rsidRDefault="00E80363" w:rsidP="00056631">
            <w:pPr>
              <w:pStyle w:val="TableText"/>
              <w:jc w:val="right"/>
            </w:pPr>
            <w:r w:rsidRPr="000920AA">
              <w:t>1</w:t>
            </w:r>
            <w:r>
              <w:t>24</w:t>
            </w:r>
          </w:p>
        </w:tc>
        <w:tc>
          <w:tcPr>
            <w:tcW w:w="512" w:type="pct"/>
          </w:tcPr>
          <w:p w14:paraId="02E155DC" w14:textId="4E8D280B" w:rsidR="00E80363" w:rsidRDefault="00E80363" w:rsidP="00056631">
            <w:pPr>
              <w:pStyle w:val="TableText"/>
              <w:jc w:val="right"/>
            </w:pPr>
            <w:r>
              <w:t>129</w:t>
            </w:r>
          </w:p>
        </w:tc>
      </w:tr>
      <w:tr w:rsidR="00E80363" w14:paraId="6EB006B9" w14:textId="77777777" w:rsidTr="00E80363">
        <w:tc>
          <w:tcPr>
            <w:tcW w:w="881" w:type="pct"/>
          </w:tcPr>
          <w:p w14:paraId="0D6EC3B9" w14:textId="6F3F5CAD" w:rsidR="00E80363" w:rsidRDefault="00E80363" w:rsidP="00056631">
            <w:pPr>
              <w:pStyle w:val="TableText"/>
            </w:pPr>
            <w:r>
              <w:t>Travellers</w:t>
            </w:r>
          </w:p>
        </w:tc>
        <w:tc>
          <w:tcPr>
            <w:tcW w:w="2131" w:type="pct"/>
            <w:vAlign w:val="bottom"/>
          </w:tcPr>
          <w:p w14:paraId="6D57518B" w14:textId="3B923512" w:rsidR="00E80363" w:rsidRDefault="00E80363" w:rsidP="00056631">
            <w:pPr>
              <w:pStyle w:val="TableText"/>
            </w:pPr>
            <w:r w:rsidRPr="00AC6230">
              <w:t>Goods Seized</w:t>
            </w:r>
            <w:r>
              <w:t xml:space="preserve"> (Storage)</w:t>
            </w:r>
            <w:r w:rsidRPr="00AC6230">
              <w:t xml:space="preserve"> </w:t>
            </w:r>
            <w:r>
              <w:t>–</w:t>
            </w:r>
            <w:r w:rsidRPr="00AC6230">
              <w:t xml:space="preserve"> In-Transit </w:t>
            </w:r>
            <w:r>
              <w:t>–</w:t>
            </w:r>
            <w:r w:rsidRPr="00AC6230">
              <w:t xml:space="preserve"> </w:t>
            </w:r>
            <w:r w:rsidR="008B13CA">
              <w:t>Traveller</w:t>
            </w:r>
            <w:r w:rsidRPr="00AC6230">
              <w:t>s</w:t>
            </w:r>
          </w:p>
        </w:tc>
        <w:tc>
          <w:tcPr>
            <w:tcW w:w="741" w:type="pct"/>
          </w:tcPr>
          <w:p w14:paraId="49E02A52" w14:textId="119A5CB8" w:rsidR="00E80363" w:rsidRDefault="006A55C3" w:rsidP="00056631">
            <w:pPr>
              <w:pStyle w:val="TableText"/>
            </w:pPr>
            <w:r>
              <w:t>Per 30 days</w:t>
            </w:r>
          </w:p>
        </w:tc>
        <w:tc>
          <w:tcPr>
            <w:tcW w:w="735" w:type="pct"/>
          </w:tcPr>
          <w:p w14:paraId="37C46A20" w14:textId="7547AD23" w:rsidR="00E80363" w:rsidRDefault="00E80363" w:rsidP="00056631">
            <w:pPr>
              <w:pStyle w:val="TableText"/>
              <w:jc w:val="right"/>
            </w:pPr>
            <w:r>
              <w:t>45</w:t>
            </w:r>
          </w:p>
        </w:tc>
        <w:tc>
          <w:tcPr>
            <w:tcW w:w="512" w:type="pct"/>
          </w:tcPr>
          <w:p w14:paraId="05281B68" w14:textId="3673B9FC" w:rsidR="00E80363" w:rsidRDefault="00E80363" w:rsidP="00056631">
            <w:pPr>
              <w:pStyle w:val="TableText"/>
              <w:jc w:val="right"/>
            </w:pPr>
            <w:r>
              <w:t>47</w:t>
            </w:r>
          </w:p>
        </w:tc>
      </w:tr>
    </w:tbl>
    <w:p w14:paraId="05D3C6F5" w14:textId="77777777" w:rsidR="00A7474D" w:rsidRPr="0080517C" w:rsidRDefault="00A7474D" w:rsidP="00A7474D">
      <w:pPr>
        <w:pStyle w:val="Heading2"/>
        <w:spacing w:before="360"/>
      </w:pPr>
      <w:r>
        <w:t>More</w:t>
      </w:r>
      <w:r w:rsidRPr="0080517C">
        <w:t xml:space="preserve"> information</w:t>
      </w:r>
    </w:p>
    <w:p w14:paraId="64659933" w14:textId="7A6B6CDD" w:rsidR="004704C5" w:rsidRDefault="004704C5" w:rsidP="00A7474D">
      <w:pPr>
        <w:spacing w:after="360"/>
        <w:rPr>
          <w:lang w:eastAsia="ja-JP"/>
        </w:rPr>
      </w:pPr>
      <w:bookmarkStart w:id="4" w:name="_Hlk163653999"/>
      <w:bookmarkStart w:id="5" w:name="_Hlk163653973"/>
      <w:r>
        <w:rPr>
          <w:lang w:eastAsia="ja-JP"/>
        </w:rPr>
        <w:t xml:space="preserve">See </w:t>
      </w:r>
      <w:hyperlink r:id="rId11" w:history="1">
        <w:r w:rsidRPr="004704C5">
          <w:rPr>
            <w:rStyle w:val="Hyperlink"/>
            <w:lang w:eastAsia="ja-JP"/>
          </w:rPr>
          <w:t>Biosecurity cost recovery implementation statements</w:t>
        </w:r>
      </w:hyperlink>
      <w:r>
        <w:rPr>
          <w:lang w:eastAsia="ja-JP"/>
        </w:rPr>
        <w:t>.</w:t>
      </w:r>
      <w:bookmarkEnd w:id="4"/>
    </w:p>
    <w:p w14:paraId="76353005" w14:textId="53572B5E" w:rsidR="00A7474D" w:rsidRDefault="00A7474D" w:rsidP="00A7474D">
      <w:pPr>
        <w:spacing w:after="360"/>
        <w:rPr>
          <w:lang w:eastAsia="ja-JP"/>
        </w:rPr>
      </w:pPr>
      <w:r>
        <w:rPr>
          <w:lang w:eastAsia="ja-JP"/>
        </w:rPr>
        <w:t>For information on indexed prices</w:t>
      </w:r>
      <w:r w:rsidR="004704C5">
        <w:rPr>
          <w:lang w:eastAsia="ja-JP"/>
        </w:rPr>
        <w:t>,</w:t>
      </w:r>
      <w:r>
        <w:rPr>
          <w:lang w:eastAsia="ja-JP"/>
        </w:rPr>
        <w:t xml:space="preserve"> email </w:t>
      </w:r>
      <w:hyperlink r:id="rId12" w:history="1">
        <w:r w:rsidRPr="00367022">
          <w:rPr>
            <w:rStyle w:val="Hyperlink"/>
            <w:lang w:eastAsia="ja-JP"/>
          </w:rPr>
          <w:t>BioCRIS@aff.gov.au</w:t>
        </w:r>
      </w:hyperlink>
      <w:r>
        <w:rPr>
          <w:rStyle w:val="Hyperlink"/>
          <w:lang w:eastAsia="ja-JP"/>
        </w:rPr>
        <w:t>.</w:t>
      </w:r>
    </w:p>
    <w:bookmarkEnd w:id="5"/>
    <w:p w14:paraId="71802274" w14:textId="77777777" w:rsidR="00A7474D" w:rsidRDefault="00A7474D" w:rsidP="00A7474D">
      <w:pPr>
        <w:pStyle w:val="Normalsmall"/>
      </w:pPr>
      <w:r>
        <w:rPr>
          <w:rStyle w:val="Strong"/>
        </w:rPr>
        <w:t>Acknowledgement of Country</w:t>
      </w:r>
    </w:p>
    <w:p w14:paraId="5BB6B90B" w14:textId="77777777" w:rsidR="00A7474D" w:rsidRPr="000A5BA0" w:rsidRDefault="00A7474D" w:rsidP="00A7474D">
      <w:pPr>
        <w:pStyle w:val="Normalsmall"/>
        <w:rPr>
          <w:rStyle w:val="Hyperlink"/>
          <w:color w:val="auto"/>
          <w:u w:val="none"/>
        </w:rPr>
      </w:pPr>
      <w:r>
        <w:t xml:space="preserve">We acknowledge the Traditional Custodians of Australia and their continuing connection to land and sea, waters, </w:t>
      </w:r>
      <w:proofErr w:type="gramStart"/>
      <w:r>
        <w:t>environment</w:t>
      </w:r>
      <w:proofErr w:type="gramEnd"/>
      <w:r>
        <w:t xml:space="preserve"> and community. We pay our respects to the Traditional Custodians of the lands we live and work on, their culture, and their Elders past and present.</w:t>
      </w:r>
    </w:p>
    <w:p w14:paraId="0BE5D369" w14:textId="77777777" w:rsidR="00A7474D" w:rsidRDefault="00A7474D" w:rsidP="00A7474D">
      <w:pPr>
        <w:pStyle w:val="Normalsmall"/>
        <w:spacing w:before="360"/>
      </w:pPr>
      <w:r>
        <w:t>© Commonwealth of Australia 2024</w:t>
      </w:r>
    </w:p>
    <w:p w14:paraId="0AEC12A7" w14:textId="77777777" w:rsidR="00A7474D" w:rsidRDefault="00A7474D" w:rsidP="00A7474D">
      <w:pPr>
        <w:pStyle w:val="Normalsmall"/>
      </w:pPr>
      <w:r>
        <w:t>Unless otherwise noted, copyright (and any other intellectual property rights) in this publication is owned by the Commonwealth of Australia (referred to as the Commonwealth).</w:t>
      </w:r>
    </w:p>
    <w:p w14:paraId="1D944A4A" w14:textId="77777777" w:rsidR="00A7474D" w:rsidRDefault="00A7474D" w:rsidP="00A7474D">
      <w:pPr>
        <w:pStyle w:val="Normalsmall"/>
      </w:pPr>
      <w:r>
        <w:t xml:space="preserve">All material in this publication is licensed under a </w:t>
      </w:r>
      <w:hyperlink r:id="rId13" w:history="1">
        <w:r>
          <w:rPr>
            <w:rStyle w:val="Hyperlink"/>
          </w:rPr>
          <w:t>Creative Commons Attribution 4.0 International Licence</w:t>
        </w:r>
      </w:hyperlink>
      <w:r>
        <w:t xml:space="preserve"> except content supplied by third parties, logos and the Commonwealth Coat of Arms.</w:t>
      </w:r>
    </w:p>
    <w:p w14:paraId="0E7050AD" w14:textId="312CACB0" w:rsidR="00A7474D" w:rsidRPr="00056631" w:rsidRDefault="00A7474D" w:rsidP="00BA7C58">
      <w:pPr>
        <w:pStyle w:val="Normalsmall"/>
      </w:pPr>
      <w:r>
        <w:t xml:space="preserve">The Australian Government acting through the </w:t>
      </w:r>
      <w:r w:rsidRPr="007B1F92">
        <w:t>Department of Agriculture, Fisheries and Forestry</w:t>
      </w:r>
      <w:r>
        <w:t xml:space="preserve"> has exercised due care and skill in preparing and compiling the information and data in this publication. Notwithstanding, the </w:t>
      </w:r>
      <w:r w:rsidRPr="007B1F92">
        <w:t>Department of Agriculture, Fisheries and Forestry</w:t>
      </w:r>
      <w:r>
        <w:t xml:space="preserve">, its employees and advisers disclaim all liability, including liability for negligence and for any loss, damage, injury, </w:t>
      </w:r>
      <w:proofErr w:type="gramStart"/>
      <w:r>
        <w:t>expense</w:t>
      </w:r>
      <w:proofErr w:type="gramEnd"/>
      <w:r>
        <w:t xml:space="preserve"> or cost incurred by any person as a result of accessing, using or relying on any of the information or data in this publication to the maximum extent permitted by law.</w:t>
      </w:r>
    </w:p>
    <w:sectPr w:rsidR="00A7474D" w:rsidRPr="00056631" w:rsidSect="00816A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247" w:bottom="1134" w:left="124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B1F4B" w14:textId="77777777" w:rsidR="00816A43" w:rsidRDefault="00816A43">
      <w:r>
        <w:separator/>
      </w:r>
    </w:p>
    <w:p w14:paraId="3C1C5CB5" w14:textId="77777777" w:rsidR="00816A43" w:rsidRDefault="00816A43"/>
    <w:p w14:paraId="271D6B24" w14:textId="77777777" w:rsidR="00816A43" w:rsidRDefault="00816A43"/>
  </w:endnote>
  <w:endnote w:type="continuationSeparator" w:id="0">
    <w:p w14:paraId="64AD2520" w14:textId="77777777" w:rsidR="00816A43" w:rsidRDefault="00816A43">
      <w:r>
        <w:continuationSeparator/>
      </w:r>
    </w:p>
    <w:p w14:paraId="61762692" w14:textId="77777777" w:rsidR="00816A43" w:rsidRDefault="00816A43"/>
    <w:p w14:paraId="0CB2A91A" w14:textId="77777777" w:rsidR="00816A43" w:rsidRDefault="00816A43"/>
  </w:endnote>
  <w:endnote w:type="continuationNotice" w:id="1">
    <w:p w14:paraId="5C34FF85" w14:textId="77777777" w:rsidR="00816A43" w:rsidRDefault="00816A43">
      <w:pPr>
        <w:pStyle w:val="Footer"/>
      </w:pPr>
    </w:p>
    <w:p w14:paraId="783B672E" w14:textId="77777777" w:rsidR="00816A43" w:rsidRDefault="00816A43"/>
    <w:p w14:paraId="19F2560F" w14:textId="77777777" w:rsidR="00816A43" w:rsidRDefault="00816A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2B3D2" w14:textId="77777777" w:rsidR="00F637B6" w:rsidRDefault="00F637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3BCB098" wp14:editId="68CF93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74299673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C3F978" w14:textId="77777777" w:rsidR="00F637B6" w:rsidRPr="00F637B6" w:rsidRDefault="00F637B6" w:rsidP="00F63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37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CB0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5C3F978" w14:textId="77777777" w:rsidR="00F637B6" w:rsidRPr="00F637B6" w:rsidRDefault="00F637B6" w:rsidP="00F63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37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F0A2D" w14:textId="6801D3BC" w:rsidR="00863E83" w:rsidRDefault="00863E83" w:rsidP="00863E83">
    <w:pPr>
      <w:pStyle w:val="Footer"/>
    </w:pPr>
    <w:r w:rsidRPr="007B1F92">
      <w:t>Department of Agriculture, Fisheries and Forestry</w:t>
    </w:r>
  </w:p>
  <w:p w14:paraId="32D6388A" w14:textId="77777777" w:rsidR="000542B4" w:rsidRDefault="009E6321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804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15380" w14:textId="77777777" w:rsidR="00577F29" w:rsidRDefault="009C37F9" w:rsidP="004E6316">
        <w:pPr>
          <w:pStyle w:val="Footer"/>
        </w:pPr>
        <w:r w:rsidRPr="007B1F92">
          <w:t>Department of Agriculture, Fisheries and Forestry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9B8D9" w14:textId="77777777" w:rsidR="00816A43" w:rsidRDefault="00816A43">
      <w:r>
        <w:separator/>
      </w:r>
    </w:p>
    <w:p w14:paraId="3CE54AD4" w14:textId="77777777" w:rsidR="00816A43" w:rsidRDefault="00816A43"/>
    <w:p w14:paraId="4374735E" w14:textId="77777777" w:rsidR="00816A43" w:rsidRDefault="00816A43"/>
  </w:footnote>
  <w:footnote w:type="continuationSeparator" w:id="0">
    <w:p w14:paraId="3051F381" w14:textId="77777777" w:rsidR="00816A43" w:rsidRDefault="00816A43">
      <w:r>
        <w:continuationSeparator/>
      </w:r>
    </w:p>
    <w:p w14:paraId="52F77361" w14:textId="77777777" w:rsidR="00816A43" w:rsidRDefault="00816A43"/>
    <w:p w14:paraId="7A123011" w14:textId="77777777" w:rsidR="00816A43" w:rsidRDefault="00816A43"/>
  </w:footnote>
  <w:footnote w:type="continuationNotice" w:id="1">
    <w:p w14:paraId="561571FB" w14:textId="77777777" w:rsidR="00816A43" w:rsidRDefault="00816A43">
      <w:pPr>
        <w:pStyle w:val="Footer"/>
      </w:pPr>
    </w:p>
    <w:p w14:paraId="0FC27DF5" w14:textId="77777777" w:rsidR="00816A43" w:rsidRDefault="00816A43"/>
    <w:p w14:paraId="3366D654" w14:textId="77777777" w:rsidR="00816A43" w:rsidRDefault="00816A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BD882" w14:textId="77777777" w:rsidR="00F637B6" w:rsidRDefault="00F637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A921D10" wp14:editId="7271ABB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44187981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9909A" w14:textId="77777777" w:rsidR="00F637B6" w:rsidRPr="00F637B6" w:rsidRDefault="00F637B6" w:rsidP="00F63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37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21D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719909A" w14:textId="77777777" w:rsidR="00F637B6" w:rsidRPr="00F637B6" w:rsidRDefault="00F637B6" w:rsidP="00F63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37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00AB3" w14:textId="460676BE" w:rsidR="000542B4" w:rsidRDefault="00736D8A">
    <w:pPr>
      <w:pStyle w:val="Header"/>
    </w:pPr>
    <w:r w:rsidRPr="00736D8A">
      <w:t xml:space="preserve">Fees and charges for biosecurity </w:t>
    </w:r>
    <w:r w:rsidR="00B43E79">
      <w:t xml:space="preserve">and imported food </w:t>
    </w:r>
    <w:r w:rsidRPr="00736D8A">
      <w:t>regulatory activity from 1 July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092F7" w14:textId="77777777" w:rsidR="000E455C" w:rsidRDefault="00144601" w:rsidP="00A8157A">
    <w:pPr>
      <w:pStyle w:val="Footer"/>
      <w:spacing w:after="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0E6FDD" wp14:editId="27E63F5D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650D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0342E"/>
    <w:multiLevelType w:val="multilevel"/>
    <w:tmpl w:val="3D4291B2"/>
    <w:lvl w:ilvl="0">
      <w:start w:val="1"/>
      <w:numFmt w:val="decimal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7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numberedlist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numberedlist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numberedlist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0088148">
    <w:abstractNumId w:val="4"/>
  </w:num>
  <w:num w:numId="2" w16cid:durableId="1209954464">
    <w:abstractNumId w:val="3"/>
  </w:num>
  <w:num w:numId="3" w16cid:durableId="211696695">
    <w:abstractNumId w:val="7"/>
  </w:num>
  <w:num w:numId="4" w16cid:durableId="1550148830">
    <w:abstractNumId w:val="8"/>
  </w:num>
  <w:num w:numId="5" w16cid:durableId="1460108156">
    <w:abstractNumId w:val="1"/>
  </w:num>
  <w:num w:numId="6" w16cid:durableId="1934704985">
    <w:abstractNumId w:val="5"/>
  </w:num>
  <w:num w:numId="7" w16cid:durableId="1013073201">
    <w:abstractNumId w:val="6"/>
  </w:num>
  <w:num w:numId="8" w16cid:durableId="524289160">
    <w:abstractNumId w:val="2"/>
  </w:num>
  <w:num w:numId="9" w16cid:durableId="94401862">
    <w:abstractNumId w:val="9"/>
  </w:num>
  <w:num w:numId="10" w16cid:durableId="1262253482">
    <w:abstractNumId w:val="9"/>
  </w:num>
  <w:num w:numId="11" w16cid:durableId="1504468562">
    <w:abstractNumId w:val="9"/>
  </w:num>
  <w:num w:numId="12" w16cid:durableId="1296328144">
    <w:abstractNumId w:val="9"/>
  </w:num>
  <w:num w:numId="13" w16cid:durableId="78042045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43"/>
    <w:rsid w:val="0000059E"/>
    <w:rsid w:val="0000066F"/>
    <w:rsid w:val="00001B53"/>
    <w:rsid w:val="000170A9"/>
    <w:rsid w:val="00017ACB"/>
    <w:rsid w:val="00021590"/>
    <w:rsid w:val="00025D1B"/>
    <w:rsid w:val="000266C4"/>
    <w:rsid w:val="000542B4"/>
    <w:rsid w:val="00056631"/>
    <w:rsid w:val="000618F3"/>
    <w:rsid w:val="00066D0B"/>
    <w:rsid w:val="000717D2"/>
    <w:rsid w:val="00074A56"/>
    <w:rsid w:val="00080827"/>
    <w:rsid w:val="0008277A"/>
    <w:rsid w:val="00084523"/>
    <w:rsid w:val="000904C1"/>
    <w:rsid w:val="000913B5"/>
    <w:rsid w:val="000A08B5"/>
    <w:rsid w:val="000A5BA0"/>
    <w:rsid w:val="000B3924"/>
    <w:rsid w:val="000B3C44"/>
    <w:rsid w:val="000C0412"/>
    <w:rsid w:val="000C29E2"/>
    <w:rsid w:val="000C4558"/>
    <w:rsid w:val="000C67CF"/>
    <w:rsid w:val="000E455C"/>
    <w:rsid w:val="000E4D74"/>
    <w:rsid w:val="000E7803"/>
    <w:rsid w:val="000F0491"/>
    <w:rsid w:val="000F4F40"/>
    <w:rsid w:val="0010223A"/>
    <w:rsid w:val="001150A3"/>
    <w:rsid w:val="001233A8"/>
    <w:rsid w:val="0013083A"/>
    <w:rsid w:val="0013173D"/>
    <w:rsid w:val="001414E9"/>
    <w:rsid w:val="00143A7B"/>
    <w:rsid w:val="00144601"/>
    <w:rsid w:val="00144B4C"/>
    <w:rsid w:val="00171C98"/>
    <w:rsid w:val="00190D7E"/>
    <w:rsid w:val="001929D2"/>
    <w:rsid w:val="001A0900"/>
    <w:rsid w:val="001A6968"/>
    <w:rsid w:val="001B01A6"/>
    <w:rsid w:val="001D0EF3"/>
    <w:rsid w:val="001D6909"/>
    <w:rsid w:val="00201BFB"/>
    <w:rsid w:val="00203DE1"/>
    <w:rsid w:val="0021506A"/>
    <w:rsid w:val="00220618"/>
    <w:rsid w:val="00226D54"/>
    <w:rsid w:val="00231DC5"/>
    <w:rsid w:val="00232141"/>
    <w:rsid w:val="002359E0"/>
    <w:rsid w:val="00237A69"/>
    <w:rsid w:val="0025659A"/>
    <w:rsid w:val="002629AD"/>
    <w:rsid w:val="00275B58"/>
    <w:rsid w:val="00284B53"/>
    <w:rsid w:val="002A22D6"/>
    <w:rsid w:val="002B1FAF"/>
    <w:rsid w:val="002B5F26"/>
    <w:rsid w:val="002E04D3"/>
    <w:rsid w:val="002E3FD4"/>
    <w:rsid w:val="002F4595"/>
    <w:rsid w:val="00300AFD"/>
    <w:rsid w:val="003032C0"/>
    <w:rsid w:val="00314AE9"/>
    <w:rsid w:val="00315F42"/>
    <w:rsid w:val="00320517"/>
    <w:rsid w:val="00320AA4"/>
    <w:rsid w:val="00320E7F"/>
    <w:rsid w:val="00336B60"/>
    <w:rsid w:val="0035108D"/>
    <w:rsid w:val="003569F9"/>
    <w:rsid w:val="00360ACC"/>
    <w:rsid w:val="00366721"/>
    <w:rsid w:val="003705D4"/>
    <w:rsid w:val="00370990"/>
    <w:rsid w:val="0037698A"/>
    <w:rsid w:val="00383EB0"/>
    <w:rsid w:val="00392124"/>
    <w:rsid w:val="003937B8"/>
    <w:rsid w:val="003E5E68"/>
    <w:rsid w:val="003F73D7"/>
    <w:rsid w:val="00411260"/>
    <w:rsid w:val="00437040"/>
    <w:rsid w:val="00442630"/>
    <w:rsid w:val="0044304D"/>
    <w:rsid w:val="00446CB3"/>
    <w:rsid w:val="004704C5"/>
    <w:rsid w:val="00474BB1"/>
    <w:rsid w:val="00477888"/>
    <w:rsid w:val="00485201"/>
    <w:rsid w:val="00495068"/>
    <w:rsid w:val="004C2DA2"/>
    <w:rsid w:val="004D0888"/>
    <w:rsid w:val="004D17CB"/>
    <w:rsid w:val="004E6316"/>
    <w:rsid w:val="005019C1"/>
    <w:rsid w:val="005070C8"/>
    <w:rsid w:val="005149C8"/>
    <w:rsid w:val="00514CEE"/>
    <w:rsid w:val="00515287"/>
    <w:rsid w:val="005157CF"/>
    <w:rsid w:val="00530D2E"/>
    <w:rsid w:val="00531B5A"/>
    <w:rsid w:val="00553E9D"/>
    <w:rsid w:val="0055447F"/>
    <w:rsid w:val="00560322"/>
    <w:rsid w:val="00567DFC"/>
    <w:rsid w:val="00571888"/>
    <w:rsid w:val="00577F29"/>
    <w:rsid w:val="005A48A6"/>
    <w:rsid w:val="005B613F"/>
    <w:rsid w:val="005B656B"/>
    <w:rsid w:val="005C2BFD"/>
    <w:rsid w:val="0060682D"/>
    <w:rsid w:val="00607A21"/>
    <w:rsid w:val="00607A36"/>
    <w:rsid w:val="00613137"/>
    <w:rsid w:val="006156DF"/>
    <w:rsid w:val="00616C5C"/>
    <w:rsid w:val="00624383"/>
    <w:rsid w:val="00625D8D"/>
    <w:rsid w:val="00625F97"/>
    <w:rsid w:val="006360F9"/>
    <w:rsid w:val="00642F36"/>
    <w:rsid w:val="00646917"/>
    <w:rsid w:val="00656587"/>
    <w:rsid w:val="00657989"/>
    <w:rsid w:val="00696682"/>
    <w:rsid w:val="006A55C3"/>
    <w:rsid w:val="006B0030"/>
    <w:rsid w:val="006B49DE"/>
    <w:rsid w:val="006D413F"/>
    <w:rsid w:val="006E353E"/>
    <w:rsid w:val="006E4781"/>
    <w:rsid w:val="006F162E"/>
    <w:rsid w:val="006F6FE8"/>
    <w:rsid w:val="00700A80"/>
    <w:rsid w:val="0070464B"/>
    <w:rsid w:val="00721291"/>
    <w:rsid w:val="007258B1"/>
    <w:rsid w:val="00725C8B"/>
    <w:rsid w:val="00736D8A"/>
    <w:rsid w:val="00741C88"/>
    <w:rsid w:val="00746C52"/>
    <w:rsid w:val="00754CA3"/>
    <w:rsid w:val="0076549B"/>
    <w:rsid w:val="00766E9C"/>
    <w:rsid w:val="00780288"/>
    <w:rsid w:val="007811B3"/>
    <w:rsid w:val="00793E18"/>
    <w:rsid w:val="007B2A2D"/>
    <w:rsid w:val="007B4C63"/>
    <w:rsid w:val="007C0010"/>
    <w:rsid w:val="007E69AF"/>
    <w:rsid w:val="007F3077"/>
    <w:rsid w:val="007F4986"/>
    <w:rsid w:val="008040B2"/>
    <w:rsid w:val="0080517C"/>
    <w:rsid w:val="00813E69"/>
    <w:rsid w:val="00816A43"/>
    <w:rsid w:val="00816A44"/>
    <w:rsid w:val="00832638"/>
    <w:rsid w:val="00837596"/>
    <w:rsid w:val="00853F69"/>
    <w:rsid w:val="00863E83"/>
    <w:rsid w:val="00865130"/>
    <w:rsid w:val="00871043"/>
    <w:rsid w:val="008722E0"/>
    <w:rsid w:val="008733E9"/>
    <w:rsid w:val="00892F53"/>
    <w:rsid w:val="00895341"/>
    <w:rsid w:val="008A346F"/>
    <w:rsid w:val="008B13CA"/>
    <w:rsid w:val="008E3B54"/>
    <w:rsid w:val="008F1712"/>
    <w:rsid w:val="008F1AFE"/>
    <w:rsid w:val="008F382A"/>
    <w:rsid w:val="008F786B"/>
    <w:rsid w:val="00902E92"/>
    <w:rsid w:val="0090743D"/>
    <w:rsid w:val="00911F4A"/>
    <w:rsid w:val="00916FC3"/>
    <w:rsid w:val="00935EFC"/>
    <w:rsid w:val="00943779"/>
    <w:rsid w:val="009527E9"/>
    <w:rsid w:val="009537EA"/>
    <w:rsid w:val="00961F7F"/>
    <w:rsid w:val="009648BA"/>
    <w:rsid w:val="009677E0"/>
    <w:rsid w:val="00974CD6"/>
    <w:rsid w:val="009844EA"/>
    <w:rsid w:val="009A5D19"/>
    <w:rsid w:val="009B6EBB"/>
    <w:rsid w:val="009B7461"/>
    <w:rsid w:val="009C1267"/>
    <w:rsid w:val="009C206F"/>
    <w:rsid w:val="009C37F9"/>
    <w:rsid w:val="009C3FA3"/>
    <w:rsid w:val="009C5CE4"/>
    <w:rsid w:val="009C6CEF"/>
    <w:rsid w:val="009D7044"/>
    <w:rsid w:val="009E6321"/>
    <w:rsid w:val="009E6E21"/>
    <w:rsid w:val="009E7262"/>
    <w:rsid w:val="00A0018B"/>
    <w:rsid w:val="00A005B3"/>
    <w:rsid w:val="00A0289A"/>
    <w:rsid w:val="00A04AFD"/>
    <w:rsid w:val="00A130F7"/>
    <w:rsid w:val="00A163B2"/>
    <w:rsid w:val="00A227E8"/>
    <w:rsid w:val="00A32860"/>
    <w:rsid w:val="00A35680"/>
    <w:rsid w:val="00A62CD6"/>
    <w:rsid w:val="00A62F99"/>
    <w:rsid w:val="00A65D84"/>
    <w:rsid w:val="00A661FD"/>
    <w:rsid w:val="00A7016C"/>
    <w:rsid w:val="00A735A0"/>
    <w:rsid w:val="00A7474D"/>
    <w:rsid w:val="00A77E8E"/>
    <w:rsid w:val="00A8157A"/>
    <w:rsid w:val="00A8338F"/>
    <w:rsid w:val="00AA1D89"/>
    <w:rsid w:val="00AA213D"/>
    <w:rsid w:val="00AC035E"/>
    <w:rsid w:val="00AC772A"/>
    <w:rsid w:val="00AE1E6E"/>
    <w:rsid w:val="00AE40DE"/>
    <w:rsid w:val="00AE4763"/>
    <w:rsid w:val="00AE5230"/>
    <w:rsid w:val="00AE6B3E"/>
    <w:rsid w:val="00B0121B"/>
    <w:rsid w:val="00B0455B"/>
    <w:rsid w:val="00B11E02"/>
    <w:rsid w:val="00B3190C"/>
    <w:rsid w:val="00B3476F"/>
    <w:rsid w:val="00B37E04"/>
    <w:rsid w:val="00B404AB"/>
    <w:rsid w:val="00B43568"/>
    <w:rsid w:val="00B43E79"/>
    <w:rsid w:val="00B477F1"/>
    <w:rsid w:val="00B50AE4"/>
    <w:rsid w:val="00B51BC7"/>
    <w:rsid w:val="00B65B69"/>
    <w:rsid w:val="00B82095"/>
    <w:rsid w:val="00B8353E"/>
    <w:rsid w:val="00B87465"/>
    <w:rsid w:val="00B90975"/>
    <w:rsid w:val="00B93571"/>
    <w:rsid w:val="00B940D3"/>
    <w:rsid w:val="00B94CBD"/>
    <w:rsid w:val="00BA0454"/>
    <w:rsid w:val="00BA2806"/>
    <w:rsid w:val="00BA7C58"/>
    <w:rsid w:val="00BC321A"/>
    <w:rsid w:val="00BD4F8E"/>
    <w:rsid w:val="00BE345B"/>
    <w:rsid w:val="00BE7C56"/>
    <w:rsid w:val="00BF2FA5"/>
    <w:rsid w:val="00C10509"/>
    <w:rsid w:val="00C312B5"/>
    <w:rsid w:val="00C44DD8"/>
    <w:rsid w:val="00C52FF0"/>
    <w:rsid w:val="00C6128D"/>
    <w:rsid w:val="00C73278"/>
    <w:rsid w:val="00C765C8"/>
    <w:rsid w:val="00C82029"/>
    <w:rsid w:val="00C850D5"/>
    <w:rsid w:val="00C86A5B"/>
    <w:rsid w:val="00C9283A"/>
    <w:rsid w:val="00C93EA0"/>
    <w:rsid w:val="00C95039"/>
    <w:rsid w:val="00CA4615"/>
    <w:rsid w:val="00CA7C6F"/>
    <w:rsid w:val="00CC214A"/>
    <w:rsid w:val="00CD3A6F"/>
    <w:rsid w:val="00CD6263"/>
    <w:rsid w:val="00CE7F36"/>
    <w:rsid w:val="00CF7D08"/>
    <w:rsid w:val="00D04A3C"/>
    <w:rsid w:val="00D06C32"/>
    <w:rsid w:val="00D20F1E"/>
    <w:rsid w:val="00D22097"/>
    <w:rsid w:val="00D22887"/>
    <w:rsid w:val="00D22A23"/>
    <w:rsid w:val="00D2429D"/>
    <w:rsid w:val="00D36C41"/>
    <w:rsid w:val="00D4039B"/>
    <w:rsid w:val="00D50496"/>
    <w:rsid w:val="00D533AE"/>
    <w:rsid w:val="00D55A85"/>
    <w:rsid w:val="00D574D5"/>
    <w:rsid w:val="00D750D0"/>
    <w:rsid w:val="00D7737C"/>
    <w:rsid w:val="00D8006B"/>
    <w:rsid w:val="00D87480"/>
    <w:rsid w:val="00D95823"/>
    <w:rsid w:val="00DB71FD"/>
    <w:rsid w:val="00DC453F"/>
    <w:rsid w:val="00DC547C"/>
    <w:rsid w:val="00DC57F0"/>
    <w:rsid w:val="00DC5E3D"/>
    <w:rsid w:val="00DE546F"/>
    <w:rsid w:val="00DF241E"/>
    <w:rsid w:val="00E25A07"/>
    <w:rsid w:val="00E333DF"/>
    <w:rsid w:val="00E44E91"/>
    <w:rsid w:val="00E564F7"/>
    <w:rsid w:val="00E6122D"/>
    <w:rsid w:val="00E80363"/>
    <w:rsid w:val="00E83C41"/>
    <w:rsid w:val="00E87842"/>
    <w:rsid w:val="00E93631"/>
    <w:rsid w:val="00E9781D"/>
    <w:rsid w:val="00EA1AC0"/>
    <w:rsid w:val="00EA5648"/>
    <w:rsid w:val="00EA5D76"/>
    <w:rsid w:val="00EB035E"/>
    <w:rsid w:val="00EC2925"/>
    <w:rsid w:val="00EC5579"/>
    <w:rsid w:val="00EC5C40"/>
    <w:rsid w:val="00EC6E32"/>
    <w:rsid w:val="00ED4F75"/>
    <w:rsid w:val="00ED774B"/>
    <w:rsid w:val="00EE0118"/>
    <w:rsid w:val="00EE49CE"/>
    <w:rsid w:val="00EE7C8D"/>
    <w:rsid w:val="00EF24B1"/>
    <w:rsid w:val="00EF3918"/>
    <w:rsid w:val="00F01A62"/>
    <w:rsid w:val="00F17081"/>
    <w:rsid w:val="00F23AF2"/>
    <w:rsid w:val="00F30857"/>
    <w:rsid w:val="00F330C3"/>
    <w:rsid w:val="00F35230"/>
    <w:rsid w:val="00F3602D"/>
    <w:rsid w:val="00F46889"/>
    <w:rsid w:val="00F61DBE"/>
    <w:rsid w:val="00F637B6"/>
    <w:rsid w:val="00F715A1"/>
    <w:rsid w:val="00F75F33"/>
    <w:rsid w:val="00F76852"/>
    <w:rsid w:val="00F84236"/>
    <w:rsid w:val="00FA38A8"/>
    <w:rsid w:val="00FC2CE4"/>
    <w:rsid w:val="00FC379E"/>
    <w:rsid w:val="00FD1BDD"/>
    <w:rsid w:val="00FD337C"/>
    <w:rsid w:val="00FD3BAE"/>
    <w:rsid w:val="00FD5236"/>
    <w:rsid w:val="00FD7D5B"/>
    <w:rsid w:val="00FE0F23"/>
    <w:rsid w:val="00F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C7078"/>
  <w15:docId w15:val="{476C1B5F-259F-41C5-8212-78086C52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BF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4E631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700A80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700A80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700A80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700A80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00A80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4E6316"/>
    <w:rPr>
      <w:rFonts w:ascii="Calibri" w:eastAsiaTheme="minorEastAsia" w:hAnsi="Calibri" w:cstheme="minorBidi"/>
      <w:b/>
      <w:b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700A80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700A80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700A80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F637B6"/>
    <w:pPr>
      <w:numPr>
        <w:numId w:val="3"/>
      </w:numPr>
      <w:spacing w:before="120"/>
      <w:ind w:left="454" w:hanging="454"/>
    </w:pPr>
  </w:style>
  <w:style w:type="paragraph" w:styleId="ListBullet2">
    <w:name w:val="List Bullet 2"/>
    <w:basedOn w:val="Normal"/>
    <w:uiPriority w:val="8"/>
    <w:qFormat/>
    <w:rsid w:val="00F637B6"/>
    <w:pPr>
      <w:numPr>
        <w:ilvl w:val="1"/>
        <w:numId w:val="3"/>
      </w:numPr>
      <w:spacing w:before="120"/>
      <w:ind w:left="908" w:hanging="454"/>
      <w:contextualSpacing/>
    </w:pPr>
  </w:style>
  <w:style w:type="paragraph" w:styleId="ListNumber">
    <w:name w:val="List Number"/>
    <w:basedOn w:val="Normal"/>
    <w:uiPriority w:val="9"/>
    <w:qFormat/>
    <w:rsid w:val="00F637B6"/>
    <w:pPr>
      <w:numPr>
        <w:numId w:val="4"/>
      </w:numPr>
      <w:tabs>
        <w:tab w:val="left" w:pos="142"/>
      </w:tabs>
      <w:spacing w:before="120"/>
      <w:ind w:left="454" w:hanging="454"/>
    </w:pPr>
  </w:style>
  <w:style w:type="paragraph" w:styleId="ListNumber2">
    <w:name w:val="List Number 2"/>
    <w:uiPriority w:val="10"/>
    <w:qFormat/>
    <w:rsid w:val="00F637B6"/>
    <w:pPr>
      <w:numPr>
        <w:ilvl w:val="1"/>
        <w:numId w:val="4"/>
      </w:numPr>
      <w:tabs>
        <w:tab w:val="left" w:pos="567"/>
      </w:tabs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F23AF2"/>
    <w:pPr>
      <w:numPr>
        <w:numId w:val="8"/>
      </w:numPr>
      <w:spacing w:before="60" w:after="60" w:line="240" w:lineRule="auto"/>
      <w:ind w:left="357" w:hanging="357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143A7B"/>
    <w:pPr>
      <w:numPr>
        <w:numId w:val="12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6E353E"/>
    <w:pPr>
      <w:numPr>
        <w:numId w:val="5"/>
      </w:numPr>
      <w:tabs>
        <w:tab w:val="num" w:pos="284"/>
      </w:tabs>
      <w:ind w:left="456" w:hanging="238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F637B6"/>
    <w:pPr>
      <w:numPr>
        <w:ilvl w:val="2"/>
        <w:numId w:val="4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Tablenumberedlist2">
    <w:name w:val="Table numbered list 2"/>
    <w:basedOn w:val="TableText"/>
    <w:qFormat/>
    <w:rsid w:val="00143A7B"/>
    <w:pPr>
      <w:numPr>
        <w:ilvl w:val="1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paragraph" w:customStyle="1" w:styleId="Tablenumberedlist3">
    <w:name w:val="Table numbered list 3"/>
    <w:basedOn w:val="TableText"/>
    <w:qFormat/>
    <w:rsid w:val="00143A7B"/>
    <w:pPr>
      <w:numPr>
        <w:ilvl w:val="2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numbering" w:customStyle="1" w:styleId="Tablenumberedlists">
    <w:name w:val="Table numbered lists"/>
    <w:uiPriority w:val="99"/>
    <w:rsid w:val="00143A7B"/>
    <w:pPr>
      <w:numPr>
        <w:numId w:val="9"/>
      </w:numPr>
    </w:pPr>
  </w:style>
  <w:style w:type="numbering" w:customStyle="1" w:styleId="List11">
    <w:name w:val="List11"/>
    <w:basedOn w:val="NoList"/>
    <w:uiPriority w:val="99"/>
    <w:rsid w:val="00FD1BDD"/>
  </w:style>
  <w:style w:type="numbering" w:customStyle="1" w:styleId="Numberlist1">
    <w:name w:val="Number list1"/>
    <w:uiPriority w:val="99"/>
    <w:rsid w:val="00FD1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/4.0/legalcod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BioCRIS@aff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about/fees/biosecurity-cri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82D4D3ABBAF49949BEA620E23A834" ma:contentTypeVersion="6" ma:contentTypeDescription="Create a new document." ma:contentTypeScope="" ma:versionID="2f9491a9300e20773862bbf2a13517b2">
  <xsd:schema xmlns:xsd="http://www.w3.org/2001/XMLSchema" xmlns:xs="http://www.w3.org/2001/XMLSchema" xmlns:p="http://schemas.microsoft.com/office/2006/metadata/properties" xmlns:ns2="c527c9b7-9ec8-4c5f-a515-89657b782942" targetNamespace="http://schemas.microsoft.com/office/2006/metadata/properties" ma:root="true" ma:fieldsID="b5a1c347192ad58c4fe9a65530de6653" ns2:_="">
    <xsd:import namespace="c527c9b7-9ec8-4c5f-a515-89657b782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c9b7-9ec8-4c5f-a515-89657b782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615E5-E183-4640-94F8-43195DB26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7c9b7-9ec8-4c5f-a515-89657b782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c527c9b7-9ec8-4c5f-a515-89657b78294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</Template>
  <TotalTime>1</TotalTime>
  <Pages>1</Pages>
  <Words>387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fees and charges for all treatments and storage fees for exports with a traveller from 1 July 2024</vt:lpstr>
    </vt:vector>
  </TitlesOfParts>
  <Company/>
  <LinksUpToDate>false</LinksUpToDate>
  <CharactersWithSpaces>2591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fees and charges for all treatments and storage fees for exports with a traveller from 1 July 2024</dc:title>
  <dc:creator>Department of Agriculture, Fisheries and Forestry</dc:creator>
  <cp:lastModifiedBy>Larkins, Bernadette</cp:lastModifiedBy>
  <cp:revision>2</cp:revision>
  <cp:lastPrinted>2024-06-23T23:55:00Z</cp:lastPrinted>
  <dcterms:created xsi:type="dcterms:W3CDTF">2024-07-16T23:42:00Z</dcterms:created>
  <dcterms:modified xsi:type="dcterms:W3CDTF">2024-07-16T23:42:00Z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0x0101002C982D4D3ABBAF49949BEA620E23A834</vt:lpwstr>
  </property>
  <property fmtid="{D5CDD505-2E9C-101B-9397-08002B2CF9AE}" pid="3" name="ClassificationContentMarkingHeaderShapeIds">
    <vt:lpwstr>9b46975,1a568d03,2d9ecd7f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189b4681,67e404fa,44b48a58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2024-02-26T21:50:56Z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3721af09-955a-4638-ac1c-9d231f6e033f</vt:lpwstr>
  </property>
  <property fmtid="{D5CDD505-2E9C-101B-9397-08002B2CF9AE}" pid="15" name="MSIP_Label_933d8be6-3c40-4052-87a2-9c2adcba8759_ContentBits">
    <vt:lpwstr>3</vt:lpwstr>
  </property>
</Properties>
</file>