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29" w:rsidRDefault="00791D29" w:rsidP="00791D29">
      <w:pPr>
        <w:pStyle w:val="Heading3"/>
        <w:spacing w:before="0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Criterion 1 - Conservation of Biological Diversity</w:t>
      </w:r>
    </w:p>
    <w:p w:rsidR="00791D29" w:rsidRPr="00791D29" w:rsidRDefault="00791D29" w:rsidP="00791D29">
      <w:pPr>
        <w:pStyle w:val="Heading4"/>
        <w:rPr>
          <w:rFonts w:asciiTheme="majorHAnsi" w:hAnsiTheme="majorHAnsi" w:cs="Arial"/>
          <w:sz w:val="23"/>
          <w:szCs w:val="23"/>
        </w:rPr>
      </w:pPr>
      <w:r w:rsidRPr="00791D29">
        <w:rPr>
          <w:rFonts w:asciiTheme="majorHAnsi" w:hAnsiTheme="majorHAnsi" w:cs="Arial"/>
          <w:sz w:val="23"/>
          <w:szCs w:val="23"/>
        </w:rPr>
        <w:t xml:space="preserve">Ecosystem diversity 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>1.1a - Area of forest by forest type and tenure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1.1b - Area of forest by growth stage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1.1c - Area of forest in protected area categories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1.1d - Fragmentation of forest cover</w:t>
      </w:r>
    </w:p>
    <w:p w:rsidR="00791D29" w:rsidRPr="00791D29" w:rsidRDefault="00791D29" w:rsidP="00791D29">
      <w:pPr>
        <w:pStyle w:val="Heading4"/>
        <w:rPr>
          <w:rFonts w:asciiTheme="majorHAnsi" w:hAnsiTheme="majorHAnsi" w:cs="Arial"/>
          <w:sz w:val="23"/>
          <w:szCs w:val="23"/>
        </w:rPr>
      </w:pPr>
      <w:r w:rsidRPr="00791D29">
        <w:rPr>
          <w:rFonts w:asciiTheme="majorHAnsi" w:hAnsiTheme="majorHAnsi" w:cs="Arial"/>
          <w:sz w:val="23"/>
          <w:szCs w:val="23"/>
        </w:rPr>
        <w:t>Species diversity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>1.2a - Forest dwelling species for which ecological information is available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1.2b - The status of forest dwelling species at risk of not maintaining viable breeding populations, as determined by legislation or scientific assessment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1.2c - Representative species from a range of habitats monitored at scales relevant to regional forest management</w:t>
      </w:r>
    </w:p>
    <w:p w:rsidR="00791D29" w:rsidRPr="00791D29" w:rsidRDefault="00791D29" w:rsidP="00791D29">
      <w:pPr>
        <w:pStyle w:val="Heading4"/>
        <w:rPr>
          <w:rFonts w:asciiTheme="majorHAnsi" w:hAnsiTheme="majorHAnsi" w:cs="Arial"/>
          <w:sz w:val="23"/>
          <w:szCs w:val="23"/>
        </w:rPr>
      </w:pPr>
      <w:r w:rsidRPr="00791D29">
        <w:rPr>
          <w:rFonts w:asciiTheme="majorHAnsi" w:hAnsiTheme="majorHAnsi" w:cs="Arial"/>
          <w:sz w:val="23"/>
          <w:szCs w:val="23"/>
        </w:rPr>
        <w:t>Genetic diversity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>1.3a - Forest associated species at risk from isolation and the loss of genetic variation, and conservation efforts for those species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1.3b - Native forest and plantations of indigenous timber species which have genetic resource conservation mechanisms in place</w:t>
      </w:r>
    </w:p>
    <w:p w:rsidR="00791D29" w:rsidRDefault="00791D29" w:rsidP="00791D29">
      <w:pPr>
        <w:pStyle w:val="Heading3"/>
        <w:rPr>
          <w:rFonts w:ascii="Century Gothic" w:hAnsi="Century Gothic" w:cs="Arial"/>
          <w:color w:val="948E91"/>
          <w:sz w:val="27"/>
          <w:szCs w:val="27"/>
        </w:rPr>
      </w:pPr>
      <w:r>
        <w:rPr>
          <w:rFonts w:cs="Arial"/>
          <w:sz w:val="27"/>
          <w:szCs w:val="27"/>
        </w:rPr>
        <w:t>Criterion 2 - Maintenance of Productive Capacity of Forest Ecosystems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>2.1a - Native forest available for wood production, area harvested, and growing stock of merchantable and non-merchantable tree species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2.1b - Age class and growing stock of plantations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2.1c - Annual removal of wood products compared to the volume determined to be sustainable for native forests</w:t>
      </w:r>
      <w:r w:rsidR="00D03B47">
        <w:rPr>
          <w:rFonts w:asciiTheme="majorHAnsi" w:hAnsiTheme="majorHAnsi" w:cs="Arial"/>
          <w:color w:val="000000"/>
          <w:sz w:val="22"/>
          <w:szCs w:val="22"/>
        </w:rPr>
        <w:t>,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t xml:space="preserve"> and </w:t>
      </w:r>
      <w:r w:rsidR="00D03B47">
        <w:rPr>
          <w:rFonts w:asciiTheme="majorHAnsi" w:hAnsiTheme="majorHAnsi" w:cs="Arial"/>
          <w:color w:val="000000"/>
          <w:sz w:val="22"/>
          <w:szCs w:val="22"/>
        </w:rPr>
        <w:t xml:space="preserve">the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t xml:space="preserve">future yields for plantations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2.1d - Annual removal of non-wood forest products compared to the level determined to be sustainable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2.1e - </w:t>
      </w:r>
      <w:r w:rsidR="00D03B47" w:rsidRPr="00D03B47">
        <w:rPr>
          <w:rFonts w:asciiTheme="majorHAnsi" w:hAnsiTheme="majorHAnsi" w:cs="Arial"/>
          <w:color w:val="000000"/>
          <w:sz w:val="22"/>
          <w:szCs w:val="22"/>
        </w:rPr>
        <w:t>The area of native forest harvested and the proportion of that effectively regenerated, and the area of plantation harvested and the proportion of that effectively re-established</w:t>
      </w:r>
    </w:p>
    <w:p w:rsidR="00791D29" w:rsidRDefault="00791D29" w:rsidP="00791D29">
      <w:pPr>
        <w:pStyle w:val="Heading3"/>
        <w:rPr>
          <w:rFonts w:ascii="Century Gothic" w:hAnsi="Century Gothic" w:cs="Arial"/>
          <w:color w:val="948E91"/>
          <w:sz w:val="27"/>
          <w:szCs w:val="27"/>
        </w:rPr>
      </w:pPr>
      <w:r>
        <w:rPr>
          <w:rFonts w:cs="Arial"/>
          <w:sz w:val="27"/>
          <w:szCs w:val="27"/>
        </w:rPr>
        <w:t>Criterion 3 - Maintenance of Ecosystem Health and Vitality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 xml:space="preserve">3.1a - Scale and impact of agents and processes affecting forest health and vitality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3.1b - Area of forest burnt by planned and unplanned fire</w:t>
      </w:r>
    </w:p>
    <w:p w:rsidR="00791D29" w:rsidRDefault="00791D29" w:rsidP="00791D29">
      <w:pPr>
        <w:pStyle w:val="Heading3"/>
        <w:rPr>
          <w:rFonts w:ascii="Century Gothic" w:hAnsi="Century Gothic" w:cs="Arial"/>
          <w:color w:val="948E91"/>
          <w:sz w:val="27"/>
          <w:szCs w:val="27"/>
        </w:rPr>
      </w:pPr>
      <w:r>
        <w:rPr>
          <w:rFonts w:cs="Arial"/>
          <w:sz w:val="27"/>
          <w:szCs w:val="27"/>
        </w:rPr>
        <w:t>Criterion 4 - Conservation and Maintenance of Soil and Water Resources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>4.1a - Area of forest land managed primarily for protective functions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4.1b - Management of the risk of soil erosion in forests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4.1c - Management of the risks to soil physical properties in forests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4.1d - Management of the risks to water quantity from forests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4.1e - Management of the risks to water quality in forests </w:t>
      </w:r>
    </w:p>
    <w:p w:rsidR="00791D29" w:rsidRDefault="00791D29" w:rsidP="00791D29">
      <w:pPr>
        <w:pStyle w:val="Heading3"/>
        <w:rPr>
          <w:rFonts w:ascii="Century Gothic" w:hAnsi="Century Gothic" w:cs="Arial"/>
          <w:color w:val="948E91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Criterion 5 - Maintenance of Forest Contribution to Global Carbon Cycles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>5.1a - Contribution of forest ecosystems and forest industries to the global greenhouse gas balance</w:t>
      </w:r>
    </w:p>
    <w:p w:rsidR="00791D29" w:rsidRDefault="00791D29" w:rsidP="00791D29">
      <w:pPr>
        <w:pStyle w:val="Heading3"/>
        <w:rPr>
          <w:rFonts w:ascii="Century Gothic" w:hAnsi="Century Gothic" w:cs="Arial"/>
          <w:color w:val="948E91"/>
          <w:sz w:val="27"/>
          <w:szCs w:val="27"/>
        </w:rPr>
      </w:pPr>
      <w:r>
        <w:rPr>
          <w:rFonts w:cs="Arial"/>
          <w:sz w:val="27"/>
          <w:szCs w:val="27"/>
        </w:rPr>
        <w:t>Criterion 6 - Maintenance and Enhancement of Long Term Multiple Socio-Economic Benefits to Meet the Needs of Societies</w:t>
      </w:r>
    </w:p>
    <w:p w:rsidR="00791D29" w:rsidRDefault="00791D29" w:rsidP="00791D29">
      <w:pPr>
        <w:pStyle w:val="Heading4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6.1 Production and consumption 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 xml:space="preserve">6.1a - Value and volume of wood and wood products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6.1b - Values, quantities and use of non-wood forest products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6.1c - Value of forest based services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6.1d - Production and consumption and import/export of wood, wood products and non-wood products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6.1e - Degree of recycling of forest products </w:t>
      </w:r>
    </w:p>
    <w:p w:rsidR="00791D29" w:rsidRDefault="00791D29" w:rsidP="00791D29">
      <w:pPr>
        <w:pStyle w:val="Heading4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6.2 Investment in the forest sector </w:t>
      </w:r>
    </w:p>
    <w:p w:rsidR="00791D29" w:rsidRDefault="00791D29" w:rsidP="00791D29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 xml:space="preserve">6.2a - Investment and expenditure in forest management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6.2b - Investment in research, development and extension and use of new and improved technologies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91D29" w:rsidRDefault="00791D29" w:rsidP="00791D29">
      <w:pPr>
        <w:pStyle w:val="Heading4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6.3 Recreation and tourism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 xml:space="preserve">6.3a - Area of forest available for </w:t>
      </w:r>
      <w:r w:rsidR="00D03B47">
        <w:rPr>
          <w:rFonts w:asciiTheme="majorHAnsi" w:hAnsiTheme="majorHAnsi" w:cs="Arial"/>
          <w:color w:val="000000"/>
          <w:sz w:val="22"/>
          <w:szCs w:val="22"/>
        </w:rPr>
        <w:t>public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t xml:space="preserve"> recreation/ tourism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6.3b - Range and use of recreation/tourism activities available </w:t>
      </w:r>
    </w:p>
    <w:p w:rsidR="00791D29" w:rsidRDefault="00791D29" w:rsidP="00791D29">
      <w:pPr>
        <w:pStyle w:val="Heading4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6.4 Cultural, social and spiritual needs and values 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 xml:space="preserve">6.4a - Area of forest to which Indigenous people have use and rights that protect their special values and are recognised through formal and informal management regimes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6.4b - Registered places of non-Indigenous cultural value in forests that are formally managed to protect those values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6.4c - The extent to which Indigenous values are protected, maintained and enhanced through Indigenous participation in forest management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6.4d - The importance of forests to people </w:t>
      </w:r>
    </w:p>
    <w:p w:rsidR="00791D29" w:rsidRDefault="00791D29" w:rsidP="00791D29">
      <w:pPr>
        <w:pStyle w:val="Heading4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6.5 Employment and community needs 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 xml:space="preserve">6.5a - Direct and indirect employment in the forest sector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6.5b - Wage rates and injury rates within the forest sector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 xml:space="preserve">6.5c - Resilience of forest dependent communities to changing social and economic conditions 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6.5d - Resilience of forest dependent Indigenous communities to changing social and economic conditions</w:t>
      </w:r>
    </w:p>
    <w:p w:rsidR="00791D29" w:rsidRDefault="00791D29" w:rsidP="00791D29">
      <w:pPr>
        <w:pStyle w:val="Heading3"/>
        <w:rPr>
          <w:rFonts w:ascii="Century Gothic" w:hAnsi="Century Gothic" w:cs="Arial"/>
          <w:color w:val="948E91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Criterion 7 - Legal, Institutional and Economic Framework for Forest Conservation and Sustainable Management</w:t>
      </w:r>
    </w:p>
    <w:p w:rsidR="00791D29" w:rsidRPr="00791D29" w:rsidRDefault="00791D29" w:rsidP="00791D29">
      <w:pPr>
        <w:pStyle w:val="NormalWeb"/>
        <w:rPr>
          <w:rFonts w:asciiTheme="majorHAnsi" w:hAnsiTheme="majorHAnsi" w:cs="Arial"/>
          <w:color w:val="000000"/>
          <w:sz w:val="22"/>
          <w:szCs w:val="22"/>
        </w:rPr>
      </w:pPr>
      <w:r w:rsidRPr="00791D29">
        <w:rPr>
          <w:rFonts w:asciiTheme="majorHAnsi" w:hAnsiTheme="majorHAnsi" w:cs="Arial"/>
          <w:color w:val="000000"/>
          <w:sz w:val="22"/>
          <w:szCs w:val="22"/>
        </w:rPr>
        <w:t>7.1a - Extent to which the legal framework supports the conservation and sustainable management of forests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7.1b - Extent to which the institutional framework supports the conservation and sustainable management of forests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7.1c - Extent to which the economic framework supports the conservation and sustainable management of forests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7.1d - Capacity to measure and monitor changes in the conservation and sustainable management of forests</w:t>
      </w:r>
      <w:r w:rsidRPr="00791D29">
        <w:rPr>
          <w:rFonts w:asciiTheme="majorHAnsi" w:hAnsiTheme="majorHAnsi" w:cs="Arial"/>
          <w:color w:val="000000"/>
          <w:sz w:val="22"/>
          <w:szCs w:val="22"/>
        </w:rPr>
        <w:br/>
        <w:t>7.1e - Capacity to conduct and apply research and development aimed at improving forest management and delivery of forest goods and services</w:t>
      </w:r>
    </w:p>
    <w:p w:rsidR="00564A94" w:rsidRDefault="00564A94"/>
    <w:sectPr w:rsidR="00564A94" w:rsidSect="00791D29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29" w:rsidRDefault="00791D29" w:rsidP="00791D29">
      <w:r>
        <w:separator/>
      </w:r>
    </w:p>
  </w:endnote>
  <w:endnote w:type="continuationSeparator" w:id="0">
    <w:p w:rsidR="00791D29" w:rsidRDefault="00791D29" w:rsidP="0079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29" w:rsidRDefault="00791D29" w:rsidP="00791D29">
      <w:r>
        <w:separator/>
      </w:r>
    </w:p>
  </w:footnote>
  <w:footnote w:type="continuationSeparator" w:id="0">
    <w:p w:rsidR="00791D29" w:rsidRDefault="00791D29" w:rsidP="00791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29" w:rsidRPr="00791D29" w:rsidRDefault="00791D29" w:rsidP="00791D29">
    <w:pPr>
      <w:pStyle w:val="Heading3"/>
      <w:rPr>
        <w:rFonts w:cs="Arial"/>
      </w:rPr>
    </w:pPr>
    <w:r w:rsidRPr="00791D29">
      <w:rPr>
        <w:rFonts w:cs="Arial"/>
      </w:rPr>
      <w:t>Australia's Sustainable Forest Management Framework of Criteria and Indicators</w:t>
    </w:r>
  </w:p>
  <w:p w:rsidR="00791D29" w:rsidRDefault="00791D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91D29"/>
    <w:rsid w:val="000164D8"/>
    <w:rsid w:val="00047E0A"/>
    <w:rsid w:val="00070476"/>
    <w:rsid w:val="00076B10"/>
    <w:rsid w:val="000774F5"/>
    <w:rsid w:val="000861C5"/>
    <w:rsid w:val="0009315F"/>
    <w:rsid w:val="00094305"/>
    <w:rsid w:val="000A377E"/>
    <w:rsid w:val="000A47B9"/>
    <w:rsid w:val="000A6A93"/>
    <w:rsid w:val="000B7F09"/>
    <w:rsid w:val="000C19BE"/>
    <w:rsid w:val="000D07D1"/>
    <w:rsid w:val="000D3722"/>
    <w:rsid w:val="000F4B20"/>
    <w:rsid w:val="000F63E4"/>
    <w:rsid w:val="001049AB"/>
    <w:rsid w:val="00113C9C"/>
    <w:rsid w:val="0013461F"/>
    <w:rsid w:val="001518C5"/>
    <w:rsid w:val="00161EC2"/>
    <w:rsid w:val="00173BD3"/>
    <w:rsid w:val="00173F56"/>
    <w:rsid w:val="001874A9"/>
    <w:rsid w:val="001912BB"/>
    <w:rsid w:val="001A6EB3"/>
    <w:rsid w:val="001B2568"/>
    <w:rsid w:val="001C2673"/>
    <w:rsid w:val="001C2BC6"/>
    <w:rsid w:val="001D6E22"/>
    <w:rsid w:val="001F291C"/>
    <w:rsid w:val="001F643B"/>
    <w:rsid w:val="001F6AE4"/>
    <w:rsid w:val="00211FC4"/>
    <w:rsid w:val="002461A9"/>
    <w:rsid w:val="0024638A"/>
    <w:rsid w:val="00284E7E"/>
    <w:rsid w:val="002976A0"/>
    <w:rsid w:val="002C3691"/>
    <w:rsid w:val="002D4A68"/>
    <w:rsid w:val="002E169B"/>
    <w:rsid w:val="002E3E31"/>
    <w:rsid w:val="002F26A6"/>
    <w:rsid w:val="0031737F"/>
    <w:rsid w:val="003244EF"/>
    <w:rsid w:val="00340835"/>
    <w:rsid w:val="00341CBF"/>
    <w:rsid w:val="003609D2"/>
    <w:rsid w:val="003656B8"/>
    <w:rsid w:val="003903AF"/>
    <w:rsid w:val="003A023F"/>
    <w:rsid w:val="003A4A54"/>
    <w:rsid w:val="003D1F71"/>
    <w:rsid w:val="00431E40"/>
    <w:rsid w:val="00433056"/>
    <w:rsid w:val="00433C5D"/>
    <w:rsid w:val="0044167E"/>
    <w:rsid w:val="00443757"/>
    <w:rsid w:val="004913E7"/>
    <w:rsid w:val="004919F3"/>
    <w:rsid w:val="00496FBA"/>
    <w:rsid w:val="004B0763"/>
    <w:rsid w:val="004B0862"/>
    <w:rsid w:val="004C3091"/>
    <w:rsid w:val="004C3450"/>
    <w:rsid w:val="004D0606"/>
    <w:rsid w:val="004D1DC2"/>
    <w:rsid w:val="005417C1"/>
    <w:rsid w:val="005474AB"/>
    <w:rsid w:val="00564A94"/>
    <w:rsid w:val="00567AEB"/>
    <w:rsid w:val="005741AF"/>
    <w:rsid w:val="00595D79"/>
    <w:rsid w:val="005C1A24"/>
    <w:rsid w:val="005C6249"/>
    <w:rsid w:val="005D7A58"/>
    <w:rsid w:val="005E043A"/>
    <w:rsid w:val="005E12AC"/>
    <w:rsid w:val="005E25FF"/>
    <w:rsid w:val="0068414C"/>
    <w:rsid w:val="006878F9"/>
    <w:rsid w:val="006D3516"/>
    <w:rsid w:val="00726EED"/>
    <w:rsid w:val="007274C7"/>
    <w:rsid w:val="00745D10"/>
    <w:rsid w:val="0074703F"/>
    <w:rsid w:val="00761E38"/>
    <w:rsid w:val="00791D29"/>
    <w:rsid w:val="007B6D6F"/>
    <w:rsid w:val="007C1C97"/>
    <w:rsid w:val="007C59CD"/>
    <w:rsid w:val="007D3518"/>
    <w:rsid w:val="007E7B89"/>
    <w:rsid w:val="007F44AD"/>
    <w:rsid w:val="00815E57"/>
    <w:rsid w:val="00856429"/>
    <w:rsid w:val="008713FE"/>
    <w:rsid w:val="00885AD9"/>
    <w:rsid w:val="008D1765"/>
    <w:rsid w:val="008D5CB2"/>
    <w:rsid w:val="008E77B6"/>
    <w:rsid w:val="008F2000"/>
    <w:rsid w:val="0092258A"/>
    <w:rsid w:val="00952B75"/>
    <w:rsid w:val="00956D32"/>
    <w:rsid w:val="00964708"/>
    <w:rsid w:val="00990B55"/>
    <w:rsid w:val="009A2337"/>
    <w:rsid w:val="009A5D60"/>
    <w:rsid w:val="009C25EF"/>
    <w:rsid w:val="009D7059"/>
    <w:rsid w:val="00A05C68"/>
    <w:rsid w:val="00A141C6"/>
    <w:rsid w:val="00A237E8"/>
    <w:rsid w:val="00A24AD3"/>
    <w:rsid w:val="00A3015F"/>
    <w:rsid w:val="00A341E3"/>
    <w:rsid w:val="00A3485A"/>
    <w:rsid w:val="00A6025C"/>
    <w:rsid w:val="00A606CA"/>
    <w:rsid w:val="00A71B08"/>
    <w:rsid w:val="00A75647"/>
    <w:rsid w:val="00A82708"/>
    <w:rsid w:val="00A9612A"/>
    <w:rsid w:val="00AA1F2D"/>
    <w:rsid w:val="00AD2572"/>
    <w:rsid w:val="00B11E27"/>
    <w:rsid w:val="00B33984"/>
    <w:rsid w:val="00B42183"/>
    <w:rsid w:val="00B6465D"/>
    <w:rsid w:val="00BC168A"/>
    <w:rsid w:val="00BD702B"/>
    <w:rsid w:val="00BF091D"/>
    <w:rsid w:val="00C01315"/>
    <w:rsid w:val="00C32188"/>
    <w:rsid w:val="00C33BD5"/>
    <w:rsid w:val="00C94F49"/>
    <w:rsid w:val="00CD6528"/>
    <w:rsid w:val="00CF635F"/>
    <w:rsid w:val="00D00030"/>
    <w:rsid w:val="00D03B47"/>
    <w:rsid w:val="00D05FB8"/>
    <w:rsid w:val="00D06BC6"/>
    <w:rsid w:val="00D43DF9"/>
    <w:rsid w:val="00D827E8"/>
    <w:rsid w:val="00D85279"/>
    <w:rsid w:val="00D85BFD"/>
    <w:rsid w:val="00D87555"/>
    <w:rsid w:val="00D92FD7"/>
    <w:rsid w:val="00DC5B75"/>
    <w:rsid w:val="00DE7AFC"/>
    <w:rsid w:val="00DF18A9"/>
    <w:rsid w:val="00E47BA7"/>
    <w:rsid w:val="00E936DE"/>
    <w:rsid w:val="00EC0D34"/>
    <w:rsid w:val="00ED6F77"/>
    <w:rsid w:val="00EF4BBE"/>
    <w:rsid w:val="00EF5F19"/>
    <w:rsid w:val="00F35DD1"/>
    <w:rsid w:val="00F54BF0"/>
    <w:rsid w:val="00F7341E"/>
    <w:rsid w:val="00F85226"/>
    <w:rsid w:val="00FB0308"/>
    <w:rsid w:val="00FB3368"/>
    <w:rsid w:val="00FB6037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1A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1D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91D29"/>
    <w:pPr>
      <w:spacing w:before="100" w:beforeAutospacing="1" w:after="100" w:afterAutospacing="1"/>
      <w:ind w:left="229"/>
      <w:outlineLvl w:val="3"/>
    </w:pPr>
    <w:rPr>
      <w:rFonts w:ascii="Century Gothic" w:hAnsi="Century Gothic"/>
      <w:color w:val="7A6F5D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91D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1D29"/>
    <w:rPr>
      <w:rFonts w:ascii="Century Gothic" w:hAnsi="Century Gothic"/>
      <w:color w:val="7A6F5D"/>
      <w:sz w:val="30"/>
      <w:szCs w:val="30"/>
    </w:rPr>
  </w:style>
  <w:style w:type="paragraph" w:styleId="NormalWeb">
    <w:name w:val="Normal (Web)"/>
    <w:basedOn w:val="Normal"/>
    <w:uiPriority w:val="99"/>
    <w:unhideWhenUsed/>
    <w:rsid w:val="00791D29"/>
    <w:pPr>
      <w:spacing w:before="336" w:after="336"/>
      <w:ind w:left="229" w:right="229"/>
    </w:pPr>
  </w:style>
  <w:style w:type="paragraph" w:styleId="Header">
    <w:name w:val="header"/>
    <w:basedOn w:val="Normal"/>
    <w:link w:val="HeaderChar"/>
    <w:rsid w:val="00791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1D29"/>
    <w:rPr>
      <w:sz w:val="24"/>
      <w:szCs w:val="24"/>
    </w:rPr>
  </w:style>
  <w:style w:type="paragraph" w:styleId="Footer">
    <w:name w:val="footer"/>
    <w:basedOn w:val="Normal"/>
    <w:link w:val="FooterChar"/>
    <w:rsid w:val="00791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91D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24F34B8BE38458A19EA0C09119139" ma:contentTypeVersion="1" ma:contentTypeDescription="Create a new document." ma:contentTypeScope="" ma:versionID="3be5da23c6cfa4a158cdd34fd1730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D486E-6D34-43FA-87A2-88636C60C1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7EF03E-BAE2-4078-9067-5CFEDE6BE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42495-A322-4A08-9D10-D0BC36D0C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3994</Characters>
  <Application>Microsoft Office Word</Application>
  <DocSecurity>0</DocSecurity>
  <Lines>33</Lines>
  <Paragraphs>9</Paragraphs>
  <ScaleCrop>false</ScaleCrop>
  <Company>Department of Agriculture Fisheries &amp; Forestry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Hunn</dc:creator>
  <cp:lastModifiedBy>Anthony Hunn</cp:lastModifiedBy>
  <cp:revision>2</cp:revision>
  <dcterms:created xsi:type="dcterms:W3CDTF">2015-05-14T07:11:00Z</dcterms:created>
  <dcterms:modified xsi:type="dcterms:W3CDTF">2015-05-14T07:11:00Z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0x010100C5E24F34B8BE38458A19EA0C09119139</vt:lpwstr>
  </property>
</Properties>
</file>