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97BF9" w14:textId="77777777" w:rsidR="00D12069" w:rsidRPr="007D2747" w:rsidRDefault="00D12069" w:rsidP="00D12069">
      <w:pPr>
        <w:rPr>
          <w:rFonts w:asciiTheme="majorHAnsi" w:hAnsiTheme="majorHAnsi" w:cs="Arial"/>
        </w:rPr>
      </w:pPr>
      <w:bookmarkStart w:id="0" w:name="_GoBack"/>
      <w:bookmarkEnd w:id="0"/>
      <w:r>
        <w:rPr>
          <w:noProof/>
          <w:lang w:eastAsia="en-AU"/>
        </w:rPr>
        <w:drawing>
          <wp:inline distT="0" distB="0" distL="0" distR="0" wp14:anchorId="51BBFDAE" wp14:editId="33FFE76F">
            <wp:extent cx="2520000" cy="1124053"/>
            <wp:effectExtent l="0" t="0" r="0" b="0"/>
            <wp:docPr id="2" name="Picture 2"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p>
    <w:p w14:paraId="5B65FA7D" w14:textId="77777777" w:rsidR="00D12069" w:rsidRPr="007D2747" w:rsidRDefault="00D12069" w:rsidP="00D12069">
      <w:pPr>
        <w:rPr>
          <w:rFonts w:asciiTheme="majorHAnsi" w:hAnsiTheme="majorHAnsi" w:cs="Arial"/>
        </w:rPr>
      </w:pPr>
    </w:p>
    <w:p w14:paraId="39C6831C" w14:textId="77777777" w:rsidR="00D12069" w:rsidRPr="007D2747" w:rsidRDefault="00D12069" w:rsidP="00D12069">
      <w:pPr>
        <w:rPr>
          <w:rFonts w:asciiTheme="majorHAnsi" w:hAnsiTheme="majorHAnsi" w:cs="Arial"/>
        </w:rPr>
      </w:pPr>
    </w:p>
    <w:p w14:paraId="0CD7B7EC" w14:textId="77777777" w:rsidR="00950BF1" w:rsidRDefault="00950BF1" w:rsidP="00950BF1">
      <w:pPr>
        <w:pStyle w:val="Titlepageheading"/>
      </w:pPr>
      <w:r>
        <w:t>A model of water trade and irrigation activity in the southern Murray-Darling Basin</w:t>
      </w:r>
    </w:p>
    <w:p w14:paraId="4AB78517" w14:textId="77777777" w:rsidR="00950BF1" w:rsidRDefault="00950BF1" w:rsidP="00950BF1">
      <w:pPr>
        <w:pStyle w:val="Subtitlesupplementarydocumenttitle"/>
      </w:pPr>
    </w:p>
    <w:p w14:paraId="7D79B192" w14:textId="08649282" w:rsidR="00950BF1" w:rsidRDefault="00950BF1" w:rsidP="00950BF1">
      <w:pPr>
        <w:pStyle w:val="Titlepageauthor"/>
        <w:ind w:left="1560" w:hanging="130"/>
      </w:pPr>
      <w:r>
        <w:t>Mihir Gupt</w:t>
      </w:r>
      <w:r w:rsidR="006028E3">
        <w:t xml:space="preserve">a, Neal Hughes and Kai Wakerman </w:t>
      </w:r>
      <w:r>
        <w:t>Powell</w:t>
      </w:r>
    </w:p>
    <w:p w14:paraId="409E35A9" w14:textId="77777777" w:rsidR="00950BF1" w:rsidRDefault="00950BF1" w:rsidP="00950BF1">
      <w:pPr>
        <w:pStyle w:val="Titlepageauthor"/>
        <w:ind w:left="1418"/>
      </w:pPr>
    </w:p>
    <w:p w14:paraId="107D658C" w14:textId="77777777" w:rsidR="00950BF1" w:rsidRDefault="00950BF1" w:rsidP="00950BF1">
      <w:pPr>
        <w:pStyle w:val="BodyText1"/>
        <w:jc w:val="right"/>
        <w:rPr>
          <w:rFonts w:asciiTheme="minorHAnsi" w:hAnsiTheme="minorHAnsi"/>
          <w:b/>
          <w:sz w:val="20"/>
          <w:szCs w:val="20"/>
        </w:rPr>
      </w:pPr>
      <w:r>
        <w:rPr>
          <w:noProof/>
          <w:lang w:eastAsia="en-AU"/>
        </w:rPr>
        <mc:AlternateContent>
          <mc:Choice Requires="wps">
            <w:drawing>
              <wp:anchor distT="4294967295" distB="4294967295" distL="114300" distR="114300" simplePos="0" relativeHeight="251658240" behindDoc="0" locked="0" layoutInCell="1" allowOverlap="1" wp14:anchorId="7B5E6463" wp14:editId="6F3E2CB6">
                <wp:simplePos x="0" y="0"/>
                <wp:positionH relativeFrom="column">
                  <wp:posOffset>890270</wp:posOffset>
                </wp:positionH>
                <wp:positionV relativeFrom="paragraph">
                  <wp:posOffset>440690</wp:posOffset>
                </wp:positionV>
                <wp:extent cx="4886325"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0972CD" id="_x0000_t32" coordsize="21600,21600" o:spt="32" o:oned="t" path="m,l21600,21600e" filled="f">
                <v:path arrowok="t" fillok="f" o:connecttype="none"/>
                <o:lock v:ext="edit" shapetype="t"/>
              </v:shapetype>
              <v:shape id="Straight Arrow Connector 7" o:spid="_x0000_s1026" type="#_x0000_t32" style="position:absolute;margin-left:70.1pt;margin-top:34.7pt;width:384.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" strokecolor="#002060"/>
            </w:pict>
          </mc:Fallback>
        </mc:AlternateContent>
      </w:r>
      <w:r>
        <w:rPr>
          <w:rFonts w:asciiTheme="minorHAnsi" w:hAnsiTheme="minorHAnsi"/>
          <w:b/>
          <w:sz w:val="20"/>
          <w:szCs w:val="20"/>
        </w:rPr>
        <w:t>Research by the Australian Bureau of Agricultural</w:t>
      </w:r>
      <w:r>
        <w:rPr>
          <w:rFonts w:asciiTheme="minorHAnsi" w:hAnsiTheme="minorHAnsi"/>
          <w:b/>
          <w:sz w:val="20"/>
          <w:szCs w:val="20"/>
        </w:rPr>
        <w:br/>
        <w:t>and Resource Economics and Sciences</w:t>
      </w:r>
    </w:p>
    <w:p w14:paraId="76095CC6" w14:textId="56F87F0A" w:rsidR="00A77FFA" w:rsidRPr="0018270F" w:rsidRDefault="00A77FFA" w:rsidP="00950BF1">
      <w:pPr>
        <w:pStyle w:val="Titlepageauthor"/>
        <w:ind w:left="1843"/>
        <w:jc w:val="right"/>
        <w:rPr>
          <w:sz w:val="24"/>
          <w:szCs w:val="24"/>
        </w:rPr>
      </w:pPr>
      <w:r w:rsidRPr="0018270F">
        <w:rPr>
          <w:sz w:val="24"/>
          <w:szCs w:val="24"/>
        </w:rPr>
        <w:t>Paper presented to the Australasian Agricultural &amp; Resource Economics Society Annual Conference</w:t>
      </w:r>
    </w:p>
    <w:p w14:paraId="7D5198FD" w14:textId="162E7C1A" w:rsidR="00DF08A6" w:rsidRDefault="00A77FFA" w:rsidP="00950BF1">
      <w:pPr>
        <w:pStyle w:val="Titlepagedate"/>
      </w:pPr>
      <w:r>
        <w:t xml:space="preserve">February </w:t>
      </w:r>
      <w:r w:rsidR="00A0149E">
        <w:t>201</w:t>
      </w:r>
      <w:r>
        <w:t>8</w:t>
      </w:r>
    </w:p>
    <w:p w14:paraId="539EEB40" w14:textId="46568AF0" w:rsidR="00D12069" w:rsidRDefault="00DF08A6" w:rsidP="005615DC">
      <w:pPr>
        <w:pStyle w:val="Titlepagedate"/>
        <w:jc w:val="center"/>
      </w:pPr>
      <w:r>
        <w:rPr>
          <w:noProof/>
          <w:lang w:eastAsia="en-AU"/>
        </w:rPr>
        <w:drawing>
          <wp:inline distT="0" distB="0" distL="0" distR="0" wp14:anchorId="404492FB" wp14:editId="0CF734AC">
            <wp:extent cx="4063041" cy="4063041"/>
            <wp:effectExtent l="0" t="0" r="0" b="0"/>
            <wp:docPr id="5" name="Picture 5" descr="http://mylink.agdaff.gov.au/team/abares/Biospheres/Water/Water_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link.agdaff.gov.au/team/abares/Biospheres/Water/Water_H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1493" cy="4101493"/>
                    </a:xfrm>
                    <a:prstGeom prst="rect">
                      <a:avLst/>
                    </a:prstGeom>
                    <a:noFill/>
                    <a:ln>
                      <a:noFill/>
                    </a:ln>
                  </pic:spPr>
                </pic:pic>
              </a:graphicData>
            </a:graphic>
          </wp:inline>
        </w:drawing>
      </w:r>
    </w:p>
    <w:p w14:paraId="12B3DAE2" w14:textId="2D17AA2B" w:rsidR="00950BF1" w:rsidRDefault="007345C8" w:rsidP="00950BF1">
      <w:pPr>
        <w:pStyle w:val="Tabletext"/>
      </w:pPr>
      <w:r>
        <w:lastRenderedPageBreak/>
        <w:t>© Commonwealth of Australia 2018</w:t>
      </w:r>
      <w:r w:rsidR="00950BF1">
        <w:br/>
      </w:r>
    </w:p>
    <w:p w14:paraId="18E0C168" w14:textId="77777777" w:rsidR="00950BF1" w:rsidRPr="007345C8" w:rsidRDefault="00950BF1" w:rsidP="00950BF1">
      <w:pPr>
        <w:pStyle w:val="Copyrightpageheading"/>
        <w:rPr>
          <w:sz w:val="18"/>
          <w:szCs w:val="18"/>
        </w:rPr>
      </w:pPr>
      <w:r w:rsidRPr="007345C8">
        <w:rPr>
          <w:sz w:val="18"/>
          <w:szCs w:val="18"/>
        </w:rPr>
        <w:t>Ownership of intellectual property rights</w:t>
      </w:r>
    </w:p>
    <w:p w14:paraId="01687A31" w14:textId="77777777" w:rsidR="00950BF1" w:rsidRPr="007345C8" w:rsidRDefault="00950BF1" w:rsidP="00950BF1">
      <w:pPr>
        <w:pStyle w:val="Tabletext"/>
        <w:rPr>
          <w:sz w:val="18"/>
          <w:szCs w:val="18"/>
        </w:rPr>
      </w:pPr>
      <w:r w:rsidRPr="007345C8">
        <w:rPr>
          <w:sz w:val="18"/>
          <w:szCs w:val="18"/>
        </w:rPr>
        <w:t>Unless otherwise noted, copyright (and any other intellectual property rights, if any) in this publication is owned by the Commonwealth of Australia (referred to as the Commonwealth).</w:t>
      </w:r>
    </w:p>
    <w:p w14:paraId="20246140" w14:textId="77777777" w:rsidR="00950BF1" w:rsidRDefault="00950BF1" w:rsidP="00950BF1">
      <w:pPr>
        <w:pStyle w:val="Tabletext"/>
      </w:pPr>
    </w:p>
    <w:p w14:paraId="22250159" w14:textId="77777777" w:rsidR="007345C8" w:rsidRDefault="007345C8" w:rsidP="007345C8">
      <w:pPr>
        <w:spacing w:after="0"/>
        <w:rPr>
          <w:rStyle w:val="Strong"/>
          <w:sz w:val="18"/>
          <w:szCs w:val="18"/>
        </w:rPr>
      </w:pPr>
      <w:r>
        <w:rPr>
          <w:rStyle w:val="Strong"/>
          <w:sz w:val="18"/>
          <w:szCs w:val="18"/>
        </w:rPr>
        <w:t>Creative Commons licence</w:t>
      </w:r>
    </w:p>
    <w:p w14:paraId="00B16683" w14:textId="77777777" w:rsidR="007345C8" w:rsidRDefault="007345C8" w:rsidP="007345C8">
      <w:pPr>
        <w:rPr>
          <w:sz w:val="18"/>
          <w:szCs w:val="18"/>
        </w:rPr>
      </w:pPr>
      <w:r>
        <w:rPr>
          <w:sz w:val="18"/>
          <w:szCs w:val="18"/>
        </w:rPr>
        <w:t xml:space="preserve">All material in this publication is licensed under a </w:t>
      </w:r>
      <w:hyperlink r:id="rId10" w:history="1">
        <w:r>
          <w:rPr>
            <w:rStyle w:val="Hyperlink"/>
            <w:sz w:val="18"/>
            <w:szCs w:val="18"/>
          </w:rPr>
          <w:t>Creative Commons Attribution 4.0 International Licence</w:t>
        </w:r>
      </w:hyperlink>
      <w:r>
        <w:rPr>
          <w:sz w:val="18"/>
          <w:szCs w:val="18"/>
        </w:rPr>
        <w:t xml:space="preserve"> except content supplied by third parties, logos and the Commonwealth Coat of Arms.</w:t>
      </w:r>
    </w:p>
    <w:p w14:paraId="30B66564" w14:textId="77777777" w:rsidR="007345C8" w:rsidRDefault="007345C8" w:rsidP="007345C8">
      <w:pPr>
        <w:rPr>
          <w:sz w:val="18"/>
          <w:szCs w:val="18"/>
        </w:rPr>
      </w:pPr>
      <w:r>
        <w:rPr>
          <w:sz w:val="18"/>
          <w:szCs w:val="18"/>
        </w:rPr>
        <w:t xml:space="preserve">Inquiries about the licence and any use of this publication should be emailed to </w:t>
      </w:r>
      <w:hyperlink r:id="rId11" w:history="1">
        <w:r>
          <w:rPr>
            <w:rStyle w:val="Hyperlink"/>
            <w:sz w:val="18"/>
            <w:szCs w:val="18"/>
          </w:rPr>
          <w:t>copyright@agriculture.gov.au</w:t>
        </w:r>
      </w:hyperlink>
      <w:r>
        <w:rPr>
          <w:sz w:val="18"/>
          <w:szCs w:val="18"/>
        </w:rPr>
        <w:t>.</w:t>
      </w:r>
    </w:p>
    <w:p w14:paraId="605C70D7" w14:textId="77777777" w:rsidR="007345C8" w:rsidRDefault="007345C8" w:rsidP="007345C8">
      <w:pPr>
        <w:rPr>
          <w:sz w:val="18"/>
          <w:szCs w:val="18"/>
        </w:rPr>
      </w:pPr>
      <w:r>
        <w:rPr>
          <w:noProof/>
          <w:sz w:val="18"/>
          <w:szCs w:val="18"/>
          <w:lang w:eastAsia="en-AU"/>
        </w:rPr>
        <w:drawing>
          <wp:inline distT="0" distB="0" distL="0" distR="0" wp14:anchorId="5561C055" wp14:editId="221C6555">
            <wp:extent cx="723265" cy="254635"/>
            <wp:effectExtent l="0" t="0" r="0" b="0"/>
            <wp:docPr id="6" name="Picture 6"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7837D4D5" w14:textId="77777777" w:rsidR="00950BF1" w:rsidRDefault="00950BF1" w:rsidP="00950BF1">
      <w:pPr>
        <w:pStyle w:val="Tabletext"/>
      </w:pPr>
    </w:p>
    <w:p w14:paraId="10ECF488" w14:textId="77777777" w:rsidR="0045242F" w:rsidRDefault="0045242F" w:rsidP="0045242F">
      <w:pPr>
        <w:spacing w:after="0"/>
        <w:rPr>
          <w:rStyle w:val="Strong"/>
          <w:sz w:val="18"/>
          <w:szCs w:val="18"/>
        </w:rPr>
      </w:pPr>
      <w:r>
        <w:rPr>
          <w:rStyle w:val="Strong"/>
          <w:sz w:val="18"/>
          <w:szCs w:val="18"/>
        </w:rPr>
        <w:t>Cataloguing data</w:t>
      </w:r>
    </w:p>
    <w:p w14:paraId="6D6DB056" w14:textId="016D2311" w:rsidR="0045242F" w:rsidRDefault="0045242F" w:rsidP="0045242F">
      <w:pPr>
        <w:rPr>
          <w:sz w:val="18"/>
          <w:szCs w:val="18"/>
        </w:rPr>
      </w:pPr>
      <w:r>
        <w:rPr>
          <w:sz w:val="18"/>
          <w:szCs w:val="18"/>
        </w:rPr>
        <w:t>Gupta, M, Hughes, N &amp; Wakerman</w:t>
      </w:r>
      <w:r w:rsidR="006028E3">
        <w:rPr>
          <w:sz w:val="18"/>
          <w:szCs w:val="18"/>
        </w:rPr>
        <w:t xml:space="preserve"> </w:t>
      </w:r>
      <w:r w:rsidR="00A0149E">
        <w:rPr>
          <w:sz w:val="18"/>
          <w:szCs w:val="18"/>
        </w:rPr>
        <w:t>Powell, Kai 2018</w:t>
      </w:r>
      <w:r>
        <w:rPr>
          <w:sz w:val="18"/>
          <w:szCs w:val="18"/>
        </w:rPr>
        <w:t xml:space="preserve">, </w:t>
      </w:r>
      <w:r w:rsidR="00D12069">
        <w:rPr>
          <w:rStyle w:val="Emphasis"/>
          <w:sz w:val="18"/>
          <w:szCs w:val="18"/>
        </w:rPr>
        <w:t>A model for water trade and irrigation activity in the southern Murray-Darling Basin</w:t>
      </w:r>
      <w:r>
        <w:rPr>
          <w:sz w:val="18"/>
          <w:szCs w:val="18"/>
        </w:rPr>
        <w:t xml:space="preserve">, ABARES </w:t>
      </w:r>
      <w:r w:rsidR="00D12069">
        <w:rPr>
          <w:sz w:val="18"/>
          <w:szCs w:val="18"/>
        </w:rPr>
        <w:t>conference paper</w:t>
      </w:r>
      <w:r>
        <w:rPr>
          <w:sz w:val="18"/>
          <w:szCs w:val="18"/>
        </w:rPr>
        <w:t xml:space="preserve">, Canberra, </w:t>
      </w:r>
      <w:r w:rsidR="00AE77A4">
        <w:rPr>
          <w:sz w:val="18"/>
          <w:szCs w:val="18"/>
        </w:rPr>
        <w:t>January</w:t>
      </w:r>
      <w:r w:rsidR="00D12069">
        <w:rPr>
          <w:sz w:val="18"/>
          <w:szCs w:val="18"/>
        </w:rPr>
        <w:t>.</w:t>
      </w:r>
    </w:p>
    <w:p w14:paraId="39F4227A" w14:textId="77777777" w:rsidR="00D905EF" w:rsidRPr="00D905EF" w:rsidRDefault="00D905EF" w:rsidP="00D905EF">
      <w:pPr>
        <w:spacing w:after="0"/>
        <w:rPr>
          <w:sz w:val="18"/>
          <w:szCs w:val="18"/>
        </w:rPr>
      </w:pPr>
      <w:r w:rsidRPr="00D905EF">
        <w:rPr>
          <w:sz w:val="18"/>
          <w:szCs w:val="18"/>
        </w:rPr>
        <w:t>ISBN:     978-1-74323-374-0</w:t>
      </w:r>
    </w:p>
    <w:p w14:paraId="65DB69CD" w14:textId="77777777" w:rsidR="00D905EF" w:rsidRPr="00D905EF" w:rsidRDefault="00D905EF" w:rsidP="00D905EF">
      <w:pPr>
        <w:spacing w:after="0"/>
        <w:rPr>
          <w:sz w:val="18"/>
          <w:szCs w:val="18"/>
        </w:rPr>
      </w:pPr>
      <w:r w:rsidRPr="00D905EF">
        <w:rPr>
          <w:sz w:val="18"/>
          <w:szCs w:val="18"/>
        </w:rPr>
        <w:t>ISSN:      1447-8358</w:t>
      </w:r>
    </w:p>
    <w:p w14:paraId="2D76C241" w14:textId="77777777" w:rsidR="00D905EF" w:rsidRPr="00D905EF" w:rsidRDefault="00D905EF" w:rsidP="00D905EF">
      <w:pPr>
        <w:spacing w:after="0"/>
        <w:rPr>
          <w:sz w:val="18"/>
          <w:szCs w:val="18"/>
        </w:rPr>
      </w:pPr>
    </w:p>
    <w:p w14:paraId="61162868" w14:textId="4006F6DA" w:rsidR="00D905EF" w:rsidRDefault="00D905EF" w:rsidP="00D905EF">
      <w:pPr>
        <w:spacing w:after="0"/>
        <w:rPr>
          <w:sz w:val="18"/>
          <w:szCs w:val="18"/>
        </w:rPr>
      </w:pPr>
      <w:r w:rsidRPr="00D905EF">
        <w:rPr>
          <w:sz w:val="18"/>
          <w:szCs w:val="18"/>
        </w:rPr>
        <w:t>Conference Paper No:     18.1</w:t>
      </w:r>
    </w:p>
    <w:p w14:paraId="7F89B5F3" w14:textId="77777777" w:rsidR="00D905EF" w:rsidRDefault="00D905EF" w:rsidP="00D905EF">
      <w:pPr>
        <w:spacing w:after="0"/>
        <w:rPr>
          <w:sz w:val="18"/>
          <w:szCs w:val="18"/>
        </w:rPr>
      </w:pPr>
    </w:p>
    <w:p w14:paraId="2412D685" w14:textId="77777777" w:rsidR="0045242F" w:rsidRDefault="0045242F" w:rsidP="0045242F">
      <w:pPr>
        <w:spacing w:after="0"/>
        <w:rPr>
          <w:rStyle w:val="Strong"/>
          <w:sz w:val="18"/>
          <w:szCs w:val="18"/>
        </w:rPr>
      </w:pPr>
      <w:r>
        <w:rPr>
          <w:rStyle w:val="Strong"/>
          <w:sz w:val="18"/>
          <w:szCs w:val="18"/>
        </w:rPr>
        <w:t>Disclaimer</w:t>
      </w:r>
    </w:p>
    <w:p w14:paraId="01BC68CA" w14:textId="77777777" w:rsidR="0045242F" w:rsidRDefault="0045242F" w:rsidP="0045242F">
      <w:pPr>
        <w:rPr>
          <w:sz w:val="18"/>
          <w:szCs w:val="18"/>
        </w:rPr>
      </w:pPr>
      <w:r>
        <w:rPr>
          <w:sz w:val="18"/>
          <w:szCs w:val="18"/>
        </w:rP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for negligence and for any loss, damage, injury, expense or cost incurred by any person as a result of accessing, using or relying on information or data in this publication to the maximum extent permitted by law.</w:t>
      </w:r>
    </w:p>
    <w:p w14:paraId="340CB0E6" w14:textId="77777777" w:rsidR="0045242F" w:rsidRDefault="0045242F" w:rsidP="0045242F">
      <w:pPr>
        <w:spacing w:after="0"/>
        <w:rPr>
          <w:rStyle w:val="Bold"/>
          <w:sz w:val="18"/>
          <w:szCs w:val="18"/>
        </w:rPr>
      </w:pPr>
      <w:r>
        <w:rPr>
          <w:rStyle w:val="Bold"/>
          <w:sz w:val="18"/>
          <w:szCs w:val="18"/>
        </w:rPr>
        <w:t>Acknowledgements</w:t>
      </w:r>
    </w:p>
    <w:p w14:paraId="65EB4524" w14:textId="20BEEEF7" w:rsidR="0045242F" w:rsidRDefault="0045242F" w:rsidP="00D12069">
      <w:pPr>
        <w:rPr>
          <w:sz w:val="18"/>
          <w:szCs w:val="18"/>
        </w:rPr>
      </w:pPr>
      <w:r>
        <w:rPr>
          <w:sz w:val="18"/>
          <w:szCs w:val="18"/>
        </w:rPr>
        <w:t xml:space="preserve">The authors thank Kenton Lawson for invaluable assistance in the preparation of datasets used for this report. The authors also thank </w:t>
      </w:r>
      <w:r w:rsidR="00EE2B5D">
        <w:rPr>
          <w:sz w:val="18"/>
          <w:szCs w:val="18"/>
        </w:rPr>
        <w:t xml:space="preserve">David Galeano, Tim Goesch, </w:t>
      </w:r>
      <w:r w:rsidR="00823475">
        <w:rPr>
          <w:sz w:val="18"/>
          <w:szCs w:val="18"/>
        </w:rPr>
        <w:t xml:space="preserve">Ahmed Hafi, </w:t>
      </w:r>
      <w:r>
        <w:rPr>
          <w:sz w:val="18"/>
          <w:szCs w:val="18"/>
        </w:rPr>
        <w:t>Orion Sanders</w:t>
      </w:r>
      <w:r w:rsidR="00EE2B5D">
        <w:rPr>
          <w:sz w:val="18"/>
          <w:szCs w:val="18"/>
        </w:rPr>
        <w:t xml:space="preserve"> and </w:t>
      </w:r>
      <w:r w:rsidR="006E6A24">
        <w:rPr>
          <w:sz w:val="18"/>
          <w:szCs w:val="18"/>
        </w:rPr>
        <w:t xml:space="preserve">Sally Thorpe </w:t>
      </w:r>
      <w:r>
        <w:rPr>
          <w:sz w:val="18"/>
          <w:szCs w:val="18"/>
        </w:rPr>
        <w:t>for reviewing this report and providing h</w:t>
      </w:r>
      <w:r w:rsidR="00F75907">
        <w:rPr>
          <w:sz w:val="18"/>
          <w:szCs w:val="18"/>
        </w:rPr>
        <w:t xml:space="preserve">elpful comments and suggestions. </w:t>
      </w:r>
      <w:r w:rsidR="00A77FFA">
        <w:rPr>
          <w:sz w:val="18"/>
          <w:szCs w:val="18"/>
        </w:rPr>
        <w:t xml:space="preserve">The authors also thank two anonymous referees from the </w:t>
      </w:r>
      <w:r w:rsidR="00A77FFA" w:rsidRPr="0018270F">
        <w:rPr>
          <w:sz w:val="18"/>
          <w:szCs w:val="18"/>
        </w:rPr>
        <w:t>Australasian Agricultural &amp; Resource Economics Society</w:t>
      </w:r>
      <w:r w:rsidR="00A77FFA">
        <w:rPr>
          <w:sz w:val="18"/>
          <w:szCs w:val="18"/>
        </w:rPr>
        <w:t xml:space="preserve"> (AARES) for their helpful comments.</w:t>
      </w:r>
      <w:r w:rsidR="00F75907">
        <w:rPr>
          <w:sz w:val="18"/>
          <w:szCs w:val="18"/>
        </w:rPr>
        <w:t xml:space="preserve"> Comments on drafts of this paper were also received from staff in the Department of Agriculture and Water Resources.</w:t>
      </w:r>
    </w:p>
    <w:p w14:paraId="1DD743DA" w14:textId="77777777" w:rsidR="007345C8" w:rsidRDefault="00950BF1">
      <w:pPr>
        <w:spacing w:after="0" w:line="240" w:lineRule="auto"/>
        <w:rPr>
          <w:sz w:val="18"/>
          <w:szCs w:val="18"/>
        </w:rPr>
        <w:sectPr w:rsidR="007345C8" w:rsidSect="007345C8">
          <w:headerReference w:type="even" r:id="rId13"/>
          <w:headerReference w:type="default" r:id="rId14"/>
          <w:footerReference w:type="even" r:id="rId15"/>
          <w:footerReference w:type="default" r:id="rId16"/>
          <w:headerReference w:type="first" r:id="rId17"/>
          <w:footerReference w:type="first" r:id="rId18"/>
          <w:pgSz w:w="11906" w:h="16838"/>
          <w:pgMar w:top="1247" w:right="1418" w:bottom="1418" w:left="1418" w:header="510" w:footer="709" w:gutter="0"/>
          <w:pgNumType w:fmt="lowerRoman" w:start="1"/>
          <w:cols w:space="708"/>
          <w:docGrid w:linePitch="360"/>
        </w:sectPr>
      </w:pPr>
      <w:r>
        <w:rPr>
          <w:sz w:val="18"/>
          <w:szCs w:val="18"/>
        </w:rPr>
        <w:br w:type="page"/>
      </w:r>
    </w:p>
    <w:bookmarkStart w:id="1" w:name="introduzoction" w:displacedByCustomXml="next"/>
    <w:bookmarkEnd w:id="1" w:displacedByCustomXml="next"/>
    <w:bookmarkStart w:id="2" w:name="_Toc486527098" w:displacedByCustomXml="next"/>
    <w:sdt>
      <w:sdtPr>
        <w:rPr>
          <w:rFonts w:ascii="Calibri" w:eastAsia="Calibri" w:hAnsi="Calibri" w:cs="Times New Roman"/>
          <w:b/>
          <w:bCs w:val="0"/>
          <w:noProof/>
          <w:color w:val="000000" w:themeColor="text1"/>
          <w:sz w:val="22"/>
          <w:szCs w:val="22"/>
          <w:lang w:val="en-AU" w:eastAsia="en-US"/>
        </w:rPr>
        <w:id w:val="785527796"/>
        <w:docPartObj>
          <w:docPartGallery w:val="Table of Contents"/>
          <w:docPartUnique/>
        </w:docPartObj>
      </w:sdtPr>
      <w:sdtEndPr>
        <w:rPr>
          <w:rFonts w:ascii="Cambria" w:hAnsi="Cambria"/>
          <w:b w:val="0"/>
          <w:noProof w:val="0"/>
        </w:rPr>
      </w:sdtEndPr>
      <w:sdtContent>
        <w:p w14:paraId="5B609D01" w14:textId="77777777" w:rsidR="0045242F" w:rsidRDefault="0045242F" w:rsidP="00DF61D7">
          <w:pPr>
            <w:pStyle w:val="TOCHeading"/>
            <w:spacing w:before="240" w:after="240"/>
          </w:pPr>
          <w:r>
            <w:t>Contents</w:t>
          </w:r>
        </w:p>
        <w:p w14:paraId="0E577324" w14:textId="77777777" w:rsidR="003772F4" w:rsidRDefault="0045242F">
          <w:pPr>
            <w:pStyle w:val="TOC1"/>
            <w:rPr>
              <w:rFonts w:asciiTheme="minorHAnsi" w:eastAsiaTheme="minorEastAsia" w:hAnsiTheme="minorHAnsi" w:cstheme="minorBidi"/>
              <w:b w:val="0"/>
              <w:color w:val="auto"/>
              <w:lang w:eastAsia="en-AU"/>
            </w:rPr>
          </w:pPr>
          <w:r>
            <w:fldChar w:fldCharType="begin"/>
          </w:r>
          <w:r>
            <w:instrText xml:space="preserve"> TOC \o "1-2" \h \z \t "Heading 1,4,Heading 1  (unnumbered chapter),1,Heading 2,2" </w:instrText>
          </w:r>
          <w:r>
            <w:fldChar w:fldCharType="separate"/>
          </w:r>
          <w:hyperlink w:anchor="_Toc505345849" w:history="1">
            <w:r w:rsidR="003772F4" w:rsidRPr="00A142C4">
              <w:rPr>
                <w:rStyle w:val="Hyperlink"/>
              </w:rPr>
              <w:t>About</w:t>
            </w:r>
            <w:r w:rsidR="003772F4">
              <w:rPr>
                <w:webHidden/>
              </w:rPr>
              <w:tab/>
            </w:r>
            <w:r w:rsidR="003772F4">
              <w:rPr>
                <w:webHidden/>
              </w:rPr>
              <w:fldChar w:fldCharType="begin"/>
            </w:r>
            <w:r w:rsidR="003772F4">
              <w:rPr>
                <w:webHidden/>
              </w:rPr>
              <w:instrText xml:space="preserve"> PAGEREF _Toc505345849 \h </w:instrText>
            </w:r>
            <w:r w:rsidR="003772F4">
              <w:rPr>
                <w:webHidden/>
              </w:rPr>
            </w:r>
            <w:r w:rsidR="003772F4">
              <w:rPr>
                <w:webHidden/>
              </w:rPr>
              <w:fldChar w:fldCharType="separate"/>
            </w:r>
            <w:r w:rsidR="00F709AB">
              <w:rPr>
                <w:webHidden/>
              </w:rPr>
              <w:t>4</w:t>
            </w:r>
            <w:r w:rsidR="003772F4">
              <w:rPr>
                <w:webHidden/>
              </w:rPr>
              <w:fldChar w:fldCharType="end"/>
            </w:r>
          </w:hyperlink>
        </w:p>
        <w:p w14:paraId="4BE8F6C8" w14:textId="77777777" w:rsidR="003772F4" w:rsidRDefault="00220589">
          <w:pPr>
            <w:pStyle w:val="TOC1"/>
            <w:rPr>
              <w:rFonts w:asciiTheme="minorHAnsi" w:eastAsiaTheme="minorEastAsia" w:hAnsiTheme="minorHAnsi" w:cstheme="minorBidi"/>
              <w:b w:val="0"/>
              <w:color w:val="auto"/>
              <w:lang w:eastAsia="en-AU"/>
            </w:rPr>
          </w:pPr>
          <w:hyperlink w:anchor="_Toc505345850" w:history="1">
            <w:r w:rsidR="003772F4" w:rsidRPr="00A142C4">
              <w:rPr>
                <w:rStyle w:val="Hyperlink"/>
              </w:rPr>
              <w:t>Abstract</w:t>
            </w:r>
            <w:r w:rsidR="003772F4">
              <w:rPr>
                <w:webHidden/>
              </w:rPr>
              <w:tab/>
            </w:r>
            <w:r w:rsidR="003772F4">
              <w:rPr>
                <w:webHidden/>
              </w:rPr>
              <w:fldChar w:fldCharType="begin"/>
            </w:r>
            <w:r w:rsidR="003772F4">
              <w:rPr>
                <w:webHidden/>
              </w:rPr>
              <w:instrText xml:space="preserve"> PAGEREF _Toc505345850 \h </w:instrText>
            </w:r>
            <w:r w:rsidR="003772F4">
              <w:rPr>
                <w:webHidden/>
              </w:rPr>
            </w:r>
            <w:r w:rsidR="003772F4">
              <w:rPr>
                <w:webHidden/>
              </w:rPr>
              <w:fldChar w:fldCharType="separate"/>
            </w:r>
            <w:r w:rsidR="00F709AB">
              <w:rPr>
                <w:webHidden/>
              </w:rPr>
              <w:t>5</w:t>
            </w:r>
            <w:r w:rsidR="003772F4">
              <w:rPr>
                <w:webHidden/>
              </w:rPr>
              <w:fldChar w:fldCharType="end"/>
            </w:r>
          </w:hyperlink>
        </w:p>
        <w:p w14:paraId="4350342B" w14:textId="77777777" w:rsidR="003772F4" w:rsidRDefault="00220589">
          <w:pPr>
            <w:pStyle w:val="TOC4"/>
            <w:rPr>
              <w:rFonts w:asciiTheme="minorHAnsi" w:eastAsiaTheme="minorEastAsia" w:hAnsiTheme="minorHAnsi" w:cstheme="minorBidi"/>
              <w:b w:val="0"/>
              <w:noProof/>
              <w:color w:val="auto"/>
              <w:lang w:eastAsia="en-AU"/>
            </w:rPr>
          </w:pPr>
          <w:hyperlink w:anchor="_Toc505345851" w:history="1">
            <w:r w:rsidR="003772F4" w:rsidRPr="00A142C4">
              <w:rPr>
                <w:rStyle w:val="Hyperlink"/>
                <w:noProof/>
              </w:rPr>
              <w:t>1</w:t>
            </w:r>
            <w:r w:rsidR="003772F4">
              <w:rPr>
                <w:rFonts w:asciiTheme="minorHAnsi" w:eastAsiaTheme="minorEastAsia" w:hAnsiTheme="minorHAnsi" w:cstheme="minorBidi"/>
                <w:b w:val="0"/>
                <w:noProof/>
                <w:color w:val="auto"/>
                <w:lang w:eastAsia="en-AU"/>
              </w:rPr>
              <w:tab/>
            </w:r>
            <w:r w:rsidR="003772F4" w:rsidRPr="00A142C4">
              <w:rPr>
                <w:rStyle w:val="Hyperlink"/>
                <w:noProof/>
              </w:rPr>
              <w:t>Introduction</w:t>
            </w:r>
            <w:r w:rsidR="003772F4">
              <w:rPr>
                <w:noProof/>
                <w:webHidden/>
              </w:rPr>
              <w:tab/>
            </w:r>
            <w:r w:rsidR="003772F4">
              <w:rPr>
                <w:noProof/>
                <w:webHidden/>
              </w:rPr>
              <w:fldChar w:fldCharType="begin"/>
            </w:r>
            <w:r w:rsidR="003772F4">
              <w:rPr>
                <w:noProof/>
                <w:webHidden/>
              </w:rPr>
              <w:instrText xml:space="preserve"> PAGEREF _Toc505345851 \h </w:instrText>
            </w:r>
            <w:r w:rsidR="003772F4">
              <w:rPr>
                <w:noProof/>
                <w:webHidden/>
              </w:rPr>
            </w:r>
            <w:r w:rsidR="003772F4">
              <w:rPr>
                <w:noProof/>
                <w:webHidden/>
              </w:rPr>
              <w:fldChar w:fldCharType="separate"/>
            </w:r>
            <w:r w:rsidR="00F709AB">
              <w:rPr>
                <w:noProof/>
                <w:webHidden/>
              </w:rPr>
              <w:t>6</w:t>
            </w:r>
            <w:r w:rsidR="003772F4">
              <w:rPr>
                <w:noProof/>
                <w:webHidden/>
              </w:rPr>
              <w:fldChar w:fldCharType="end"/>
            </w:r>
          </w:hyperlink>
        </w:p>
        <w:p w14:paraId="76EE2378" w14:textId="77777777" w:rsidR="003772F4" w:rsidRDefault="00220589">
          <w:pPr>
            <w:pStyle w:val="TOC4"/>
            <w:rPr>
              <w:rFonts w:asciiTheme="minorHAnsi" w:eastAsiaTheme="minorEastAsia" w:hAnsiTheme="minorHAnsi" w:cstheme="minorBidi"/>
              <w:b w:val="0"/>
              <w:noProof/>
              <w:color w:val="auto"/>
              <w:lang w:eastAsia="en-AU"/>
            </w:rPr>
          </w:pPr>
          <w:hyperlink w:anchor="_Toc505345852" w:history="1">
            <w:r w:rsidR="003772F4" w:rsidRPr="00A142C4">
              <w:rPr>
                <w:rStyle w:val="Hyperlink"/>
                <w:noProof/>
              </w:rPr>
              <w:t>2</w:t>
            </w:r>
            <w:r w:rsidR="003772F4">
              <w:rPr>
                <w:rFonts w:asciiTheme="minorHAnsi" w:eastAsiaTheme="minorEastAsia" w:hAnsiTheme="minorHAnsi" w:cstheme="minorBidi"/>
                <w:b w:val="0"/>
                <w:noProof/>
                <w:color w:val="auto"/>
                <w:lang w:eastAsia="en-AU"/>
              </w:rPr>
              <w:tab/>
            </w:r>
            <w:r w:rsidR="003772F4" w:rsidRPr="00A142C4">
              <w:rPr>
                <w:rStyle w:val="Hyperlink"/>
                <w:noProof/>
              </w:rPr>
              <w:t>Data</w:t>
            </w:r>
            <w:r w:rsidR="003772F4">
              <w:rPr>
                <w:noProof/>
                <w:webHidden/>
              </w:rPr>
              <w:tab/>
            </w:r>
            <w:r w:rsidR="003772F4">
              <w:rPr>
                <w:noProof/>
                <w:webHidden/>
              </w:rPr>
              <w:fldChar w:fldCharType="begin"/>
            </w:r>
            <w:r w:rsidR="003772F4">
              <w:rPr>
                <w:noProof/>
                <w:webHidden/>
              </w:rPr>
              <w:instrText xml:space="preserve"> PAGEREF _Toc505345852 \h </w:instrText>
            </w:r>
            <w:r w:rsidR="003772F4">
              <w:rPr>
                <w:noProof/>
                <w:webHidden/>
              </w:rPr>
            </w:r>
            <w:r w:rsidR="003772F4">
              <w:rPr>
                <w:noProof/>
                <w:webHidden/>
              </w:rPr>
              <w:fldChar w:fldCharType="separate"/>
            </w:r>
            <w:r w:rsidR="00F709AB">
              <w:rPr>
                <w:noProof/>
                <w:webHidden/>
              </w:rPr>
              <w:t>8</w:t>
            </w:r>
            <w:r w:rsidR="003772F4">
              <w:rPr>
                <w:noProof/>
                <w:webHidden/>
              </w:rPr>
              <w:fldChar w:fldCharType="end"/>
            </w:r>
          </w:hyperlink>
        </w:p>
        <w:p w14:paraId="28D3A83C" w14:textId="77777777" w:rsidR="003772F4" w:rsidRDefault="00220589">
          <w:pPr>
            <w:pStyle w:val="TOC2"/>
            <w:rPr>
              <w:rFonts w:asciiTheme="minorHAnsi" w:eastAsiaTheme="minorEastAsia" w:hAnsiTheme="minorHAnsi" w:cstheme="minorBidi"/>
              <w:color w:val="auto"/>
              <w:szCs w:val="22"/>
              <w:lang w:eastAsia="en-AU"/>
            </w:rPr>
          </w:pPr>
          <w:hyperlink w:anchor="_Toc505345853" w:history="1">
            <w:r w:rsidR="003772F4" w:rsidRPr="00A142C4">
              <w:rPr>
                <w:rStyle w:val="Hyperlink"/>
              </w:rPr>
              <w:t>Data sources and assumptions</w:t>
            </w:r>
            <w:r w:rsidR="003772F4">
              <w:rPr>
                <w:webHidden/>
              </w:rPr>
              <w:tab/>
            </w:r>
            <w:r w:rsidR="003772F4">
              <w:rPr>
                <w:webHidden/>
              </w:rPr>
              <w:fldChar w:fldCharType="begin"/>
            </w:r>
            <w:r w:rsidR="003772F4">
              <w:rPr>
                <w:webHidden/>
              </w:rPr>
              <w:instrText xml:space="preserve"> PAGEREF _Toc505345853 \h </w:instrText>
            </w:r>
            <w:r w:rsidR="003772F4">
              <w:rPr>
                <w:webHidden/>
              </w:rPr>
            </w:r>
            <w:r w:rsidR="003772F4">
              <w:rPr>
                <w:webHidden/>
              </w:rPr>
              <w:fldChar w:fldCharType="separate"/>
            </w:r>
            <w:r w:rsidR="00F709AB">
              <w:rPr>
                <w:webHidden/>
              </w:rPr>
              <w:t>8</w:t>
            </w:r>
            <w:r w:rsidR="003772F4">
              <w:rPr>
                <w:webHidden/>
              </w:rPr>
              <w:fldChar w:fldCharType="end"/>
            </w:r>
          </w:hyperlink>
        </w:p>
        <w:p w14:paraId="5AE9C02A" w14:textId="77777777" w:rsidR="003772F4" w:rsidRDefault="00220589">
          <w:pPr>
            <w:pStyle w:val="TOC2"/>
            <w:rPr>
              <w:rFonts w:asciiTheme="minorHAnsi" w:eastAsiaTheme="minorEastAsia" w:hAnsiTheme="minorHAnsi" w:cstheme="minorBidi"/>
              <w:color w:val="auto"/>
              <w:szCs w:val="22"/>
              <w:lang w:eastAsia="en-AU"/>
            </w:rPr>
          </w:pPr>
          <w:hyperlink w:anchor="_Toc505345854" w:history="1">
            <w:r w:rsidR="003772F4" w:rsidRPr="00A142C4">
              <w:rPr>
                <w:rStyle w:val="Hyperlink"/>
              </w:rPr>
              <w:t>Total water supply and demand</w:t>
            </w:r>
            <w:r w:rsidR="003772F4">
              <w:rPr>
                <w:webHidden/>
              </w:rPr>
              <w:tab/>
            </w:r>
            <w:r w:rsidR="003772F4">
              <w:rPr>
                <w:webHidden/>
              </w:rPr>
              <w:fldChar w:fldCharType="begin"/>
            </w:r>
            <w:r w:rsidR="003772F4">
              <w:rPr>
                <w:webHidden/>
              </w:rPr>
              <w:instrText xml:space="preserve"> PAGEREF _Toc505345854 \h </w:instrText>
            </w:r>
            <w:r w:rsidR="003772F4">
              <w:rPr>
                <w:webHidden/>
              </w:rPr>
            </w:r>
            <w:r w:rsidR="003772F4">
              <w:rPr>
                <w:webHidden/>
              </w:rPr>
              <w:fldChar w:fldCharType="separate"/>
            </w:r>
            <w:r w:rsidR="00F709AB">
              <w:rPr>
                <w:webHidden/>
              </w:rPr>
              <w:t>11</w:t>
            </w:r>
            <w:r w:rsidR="003772F4">
              <w:rPr>
                <w:webHidden/>
              </w:rPr>
              <w:fldChar w:fldCharType="end"/>
            </w:r>
          </w:hyperlink>
        </w:p>
        <w:p w14:paraId="547DF834" w14:textId="77777777" w:rsidR="003772F4" w:rsidRDefault="00220589">
          <w:pPr>
            <w:pStyle w:val="TOC4"/>
            <w:rPr>
              <w:rFonts w:asciiTheme="minorHAnsi" w:eastAsiaTheme="minorEastAsia" w:hAnsiTheme="minorHAnsi" w:cstheme="minorBidi"/>
              <w:b w:val="0"/>
              <w:noProof/>
              <w:color w:val="auto"/>
              <w:lang w:eastAsia="en-AU"/>
            </w:rPr>
          </w:pPr>
          <w:hyperlink w:anchor="_Toc505345855" w:history="1">
            <w:r w:rsidR="003772F4" w:rsidRPr="00A142C4">
              <w:rPr>
                <w:rStyle w:val="Hyperlink"/>
                <w:noProof/>
              </w:rPr>
              <w:t>3</w:t>
            </w:r>
            <w:r w:rsidR="003772F4">
              <w:rPr>
                <w:rFonts w:asciiTheme="minorHAnsi" w:eastAsiaTheme="minorEastAsia" w:hAnsiTheme="minorHAnsi" w:cstheme="minorBidi"/>
                <w:b w:val="0"/>
                <w:noProof/>
                <w:color w:val="auto"/>
                <w:lang w:eastAsia="en-AU"/>
              </w:rPr>
              <w:tab/>
            </w:r>
            <w:r w:rsidR="003772F4" w:rsidRPr="00A142C4">
              <w:rPr>
                <w:rStyle w:val="Hyperlink"/>
                <w:noProof/>
              </w:rPr>
              <w:t>Model</w:t>
            </w:r>
            <w:r w:rsidR="003772F4">
              <w:rPr>
                <w:noProof/>
                <w:webHidden/>
              </w:rPr>
              <w:tab/>
            </w:r>
            <w:r w:rsidR="003772F4">
              <w:rPr>
                <w:noProof/>
                <w:webHidden/>
              </w:rPr>
              <w:fldChar w:fldCharType="begin"/>
            </w:r>
            <w:r w:rsidR="003772F4">
              <w:rPr>
                <w:noProof/>
                <w:webHidden/>
              </w:rPr>
              <w:instrText xml:space="preserve"> PAGEREF _Toc505345855 \h </w:instrText>
            </w:r>
            <w:r w:rsidR="003772F4">
              <w:rPr>
                <w:noProof/>
                <w:webHidden/>
              </w:rPr>
            </w:r>
            <w:r w:rsidR="003772F4">
              <w:rPr>
                <w:noProof/>
                <w:webHidden/>
              </w:rPr>
              <w:fldChar w:fldCharType="separate"/>
            </w:r>
            <w:r w:rsidR="00F709AB">
              <w:rPr>
                <w:noProof/>
                <w:webHidden/>
              </w:rPr>
              <w:t>12</w:t>
            </w:r>
            <w:r w:rsidR="003772F4">
              <w:rPr>
                <w:noProof/>
                <w:webHidden/>
              </w:rPr>
              <w:fldChar w:fldCharType="end"/>
            </w:r>
          </w:hyperlink>
        </w:p>
        <w:p w14:paraId="7FA7C0C6" w14:textId="77777777" w:rsidR="003772F4" w:rsidRDefault="00220589">
          <w:pPr>
            <w:pStyle w:val="TOC2"/>
            <w:rPr>
              <w:rFonts w:asciiTheme="minorHAnsi" w:eastAsiaTheme="minorEastAsia" w:hAnsiTheme="minorHAnsi" w:cstheme="minorBidi"/>
              <w:color w:val="auto"/>
              <w:szCs w:val="22"/>
              <w:lang w:eastAsia="en-AU"/>
            </w:rPr>
          </w:pPr>
          <w:hyperlink w:anchor="_Toc505345856" w:history="1">
            <w:r w:rsidR="003772F4" w:rsidRPr="00A142C4">
              <w:rPr>
                <w:rStyle w:val="Hyperlink"/>
              </w:rPr>
              <w:t>Water supply</w:t>
            </w:r>
            <w:r w:rsidR="003772F4">
              <w:rPr>
                <w:webHidden/>
              </w:rPr>
              <w:tab/>
            </w:r>
            <w:r w:rsidR="003772F4">
              <w:rPr>
                <w:webHidden/>
              </w:rPr>
              <w:fldChar w:fldCharType="begin"/>
            </w:r>
            <w:r w:rsidR="003772F4">
              <w:rPr>
                <w:webHidden/>
              </w:rPr>
              <w:instrText xml:space="preserve"> PAGEREF _Toc505345856 \h </w:instrText>
            </w:r>
            <w:r w:rsidR="003772F4">
              <w:rPr>
                <w:webHidden/>
              </w:rPr>
            </w:r>
            <w:r w:rsidR="003772F4">
              <w:rPr>
                <w:webHidden/>
              </w:rPr>
              <w:fldChar w:fldCharType="separate"/>
            </w:r>
            <w:r w:rsidR="00F709AB">
              <w:rPr>
                <w:webHidden/>
              </w:rPr>
              <w:t>12</w:t>
            </w:r>
            <w:r w:rsidR="003772F4">
              <w:rPr>
                <w:webHidden/>
              </w:rPr>
              <w:fldChar w:fldCharType="end"/>
            </w:r>
          </w:hyperlink>
        </w:p>
        <w:p w14:paraId="619B5C9F" w14:textId="77777777" w:rsidR="003772F4" w:rsidRDefault="00220589">
          <w:pPr>
            <w:pStyle w:val="TOC2"/>
            <w:rPr>
              <w:rFonts w:asciiTheme="minorHAnsi" w:eastAsiaTheme="minorEastAsia" w:hAnsiTheme="minorHAnsi" w:cstheme="minorBidi"/>
              <w:color w:val="auto"/>
              <w:szCs w:val="22"/>
              <w:lang w:eastAsia="en-AU"/>
            </w:rPr>
          </w:pPr>
          <w:hyperlink w:anchor="_Toc505345857" w:history="1">
            <w:r w:rsidR="003772F4" w:rsidRPr="00A142C4">
              <w:rPr>
                <w:rStyle w:val="Hyperlink"/>
              </w:rPr>
              <w:t>Water demand</w:t>
            </w:r>
            <w:r w:rsidR="003772F4">
              <w:rPr>
                <w:webHidden/>
              </w:rPr>
              <w:tab/>
            </w:r>
            <w:r w:rsidR="003772F4">
              <w:rPr>
                <w:webHidden/>
              </w:rPr>
              <w:fldChar w:fldCharType="begin"/>
            </w:r>
            <w:r w:rsidR="003772F4">
              <w:rPr>
                <w:webHidden/>
              </w:rPr>
              <w:instrText xml:space="preserve"> PAGEREF _Toc505345857 \h </w:instrText>
            </w:r>
            <w:r w:rsidR="003772F4">
              <w:rPr>
                <w:webHidden/>
              </w:rPr>
            </w:r>
            <w:r w:rsidR="003772F4">
              <w:rPr>
                <w:webHidden/>
              </w:rPr>
              <w:fldChar w:fldCharType="separate"/>
            </w:r>
            <w:r w:rsidR="00F709AB">
              <w:rPr>
                <w:webHidden/>
              </w:rPr>
              <w:t>12</w:t>
            </w:r>
            <w:r w:rsidR="003772F4">
              <w:rPr>
                <w:webHidden/>
              </w:rPr>
              <w:fldChar w:fldCharType="end"/>
            </w:r>
          </w:hyperlink>
        </w:p>
        <w:p w14:paraId="203D20CC" w14:textId="77777777" w:rsidR="003772F4" w:rsidRDefault="00220589">
          <w:pPr>
            <w:pStyle w:val="TOC2"/>
            <w:rPr>
              <w:rFonts w:asciiTheme="minorHAnsi" w:eastAsiaTheme="minorEastAsia" w:hAnsiTheme="minorHAnsi" w:cstheme="minorBidi"/>
              <w:color w:val="auto"/>
              <w:szCs w:val="22"/>
              <w:lang w:eastAsia="en-AU"/>
            </w:rPr>
          </w:pPr>
          <w:hyperlink w:anchor="_Toc505345858" w:history="1">
            <w:r w:rsidR="003772F4" w:rsidRPr="00A142C4">
              <w:rPr>
                <w:rStyle w:val="Hyperlink"/>
              </w:rPr>
              <w:t>Water supply and demand balance</w:t>
            </w:r>
            <w:r w:rsidR="003772F4">
              <w:rPr>
                <w:webHidden/>
              </w:rPr>
              <w:tab/>
            </w:r>
            <w:r w:rsidR="003772F4">
              <w:rPr>
                <w:webHidden/>
              </w:rPr>
              <w:fldChar w:fldCharType="begin"/>
            </w:r>
            <w:r w:rsidR="003772F4">
              <w:rPr>
                <w:webHidden/>
              </w:rPr>
              <w:instrText xml:space="preserve"> PAGEREF _Toc505345858 \h </w:instrText>
            </w:r>
            <w:r w:rsidR="003772F4">
              <w:rPr>
                <w:webHidden/>
              </w:rPr>
            </w:r>
            <w:r w:rsidR="003772F4">
              <w:rPr>
                <w:webHidden/>
              </w:rPr>
              <w:fldChar w:fldCharType="separate"/>
            </w:r>
            <w:r w:rsidR="00F709AB">
              <w:rPr>
                <w:webHidden/>
              </w:rPr>
              <w:t>14</w:t>
            </w:r>
            <w:r w:rsidR="003772F4">
              <w:rPr>
                <w:webHidden/>
              </w:rPr>
              <w:fldChar w:fldCharType="end"/>
            </w:r>
          </w:hyperlink>
        </w:p>
        <w:p w14:paraId="641FEE33" w14:textId="77777777" w:rsidR="003772F4" w:rsidRDefault="00220589">
          <w:pPr>
            <w:pStyle w:val="TOC2"/>
            <w:rPr>
              <w:rFonts w:asciiTheme="minorHAnsi" w:eastAsiaTheme="minorEastAsia" w:hAnsiTheme="minorHAnsi" w:cstheme="minorBidi"/>
              <w:color w:val="auto"/>
              <w:szCs w:val="22"/>
              <w:lang w:eastAsia="en-AU"/>
            </w:rPr>
          </w:pPr>
          <w:hyperlink w:anchor="_Toc505345859" w:history="1">
            <w:r w:rsidR="003772F4" w:rsidRPr="00A142C4">
              <w:rPr>
                <w:rStyle w:val="Hyperlink"/>
              </w:rPr>
              <w:t>Water trading constraints</w:t>
            </w:r>
            <w:r w:rsidR="003772F4">
              <w:rPr>
                <w:webHidden/>
              </w:rPr>
              <w:tab/>
            </w:r>
            <w:r w:rsidR="003772F4">
              <w:rPr>
                <w:webHidden/>
              </w:rPr>
              <w:fldChar w:fldCharType="begin"/>
            </w:r>
            <w:r w:rsidR="003772F4">
              <w:rPr>
                <w:webHidden/>
              </w:rPr>
              <w:instrText xml:space="preserve"> PAGEREF _Toc505345859 \h </w:instrText>
            </w:r>
            <w:r w:rsidR="003772F4">
              <w:rPr>
                <w:webHidden/>
              </w:rPr>
            </w:r>
            <w:r w:rsidR="003772F4">
              <w:rPr>
                <w:webHidden/>
              </w:rPr>
              <w:fldChar w:fldCharType="separate"/>
            </w:r>
            <w:r w:rsidR="00F709AB">
              <w:rPr>
                <w:webHidden/>
              </w:rPr>
              <w:t>15</w:t>
            </w:r>
            <w:r w:rsidR="003772F4">
              <w:rPr>
                <w:webHidden/>
              </w:rPr>
              <w:fldChar w:fldCharType="end"/>
            </w:r>
          </w:hyperlink>
        </w:p>
        <w:p w14:paraId="38020E4B" w14:textId="77777777" w:rsidR="003772F4" w:rsidRDefault="00220589">
          <w:pPr>
            <w:pStyle w:val="TOC2"/>
            <w:rPr>
              <w:rFonts w:asciiTheme="minorHAnsi" w:eastAsiaTheme="minorEastAsia" w:hAnsiTheme="minorHAnsi" w:cstheme="minorBidi"/>
              <w:color w:val="auto"/>
              <w:szCs w:val="22"/>
              <w:lang w:eastAsia="en-AU"/>
            </w:rPr>
          </w:pPr>
          <w:hyperlink w:anchor="_Toc505345860" w:history="1">
            <w:r w:rsidR="003772F4" w:rsidRPr="00A142C4">
              <w:rPr>
                <w:rStyle w:val="Hyperlink"/>
              </w:rPr>
              <w:t>Solving for an equilibrium</w:t>
            </w:r>
            <w:r w:rsidR="003772F4">
              <w:rPr>
                <w:webHidden/>
              </w:rPr>
              <w:tab/>
            </w:r>
            <w:r w:rsidR="003772F4">
              <w:rPr>
                <w:webHidden/>
              </w:rPr>
              <w:fldChar w:fldCharType="begin"/>
            </w:r>
            <w:r w:rsidR="003772F4">
              <w:rPr>
                <w:webHidden/>
              </w:rPr>
              <w:instrText xml:space="preserve"> PAGEREF _Toc505345860 \h </w:instrText>
            </w:r>
            <w:r w:rsidR="003772F4">
              <w:rPr>
                <w:webHidden/>
              </w:rPr>
            </w:r>
            <w:r w:rsidR="003772F4">
              <w:rPr>
                <w:webHidden/>
              </w:rPr>
              <w:fldChar w:fldCharType="separate"/>
            </w:r>
            <w:r w:rsidR="00F709AB">
              <w:rPr>
                <w:webHidden/>
              </w:rPr>
              <w:t>16</w:t>
            </w:r>
            <w:r w:rsidR="003772F4">
              <w:rPr>
                <w:webHidden/>
              </w:rPr>
              <w:fldChar w:fldCharType="end"/>
            </w:r>
          </w:hyperlink>
        </w:p>
        <w:p w14:paraId="41EB1F13" w14:textId="77777777" w:rsidR="003772F4" w:rsidRDefault="00220589">
          <w:pPr>
            <w:pStyle w:val="TOC2"/>
            <w:rPr>
              <w:rFonts w:asciiTheme="minorHAnsi" w:eastAsiaTheme="minorEastAsia" w:hAnsiTheme="minorHAnsi" w:cstheme="minorBidi"/>
              <w:color w:val="auto"/>
              <w:szCs w:val="22"/>
              <w:lang w:eastAsia="en-AU"/>
            </w:rPr>
          </w:pPr>
          <w:hyperlink w:anchor="_Toc505345861" w:history="1">
            <w:r w:rsidR="003772F4" w:rsidRPr="00A142C4">
              <w:rPr>
                <w:rStyle w:val="Hyperlink"/>
              </w:rPr>
              <w:t>Water entitlement prices</w:t>
            </w:r>
            <w:r w:rsidR="003772F4">
              <w:rPr>
                <w:webHidden/>
              </w:rPr>
              <w:tab/>
            </w:r>
            <w:r w:rsidR="003772F4">
              <w:rPr>
                <w:webHidden/>
              </w:rPr>
              <w:fldChar w:fldCharType="begin"/>
            </w:r>
            <w:r w:rsidR="003772F4">
              <w:rPr>
                <w:webHidden/>
              </w:rPr>
              <w:instrText xml:space="preserve"> PAGEREF _Toc505345861 \h </w:instrText>
            </w:r>
            <w:r w:rsidR="003772F4">
              <w:rPr>
                <w:webHidden/>
              </w:rPr>
            </w:r>
            <w:r w:rsidR="003772F4">
              <w:rPr>
                <w:webHidden/>
              </w:rPr>
              <w:fldChar w:fldCharType="separate"/>
            </w:r>
            <w:r w:rsidR="00F709AB">
              <w:rPr>
                <w:webHidden/>
              </w:rPr>
              <w:t>17</w:t>
            </w:r>
            <w:r w:rsidR="003772F4">
              <w:rPr>
                <w:webHidden/>
              </w:rPr>
              <w:fldChar w:fldCharType="end"/>
            </w:r>
          </w:hyperlink>
        </w:p>
        <w:p w14:paraId="7413EED8" w14:textId="77777777" w:rsidR="003772F4" w:rsidRDefault="00220589">
          <w:pPr>
            <w:pStyle w:val="TOC4"/>
            <w:rPr>
              <w:rFonts w:asciiTheme="minorHAnsi" w:eastAsiaTheme="minorEastAsia" w:hAnsiTheme="minorHAnsi" w:cstheme="minorBidi"/>
              <w:b w:val="0"/>
              <w:noProof/>
              <w:color w:val="auto"/>
              <w:lang w:eastAsia="en-AU"/>
            </w:rPr>
          </w:pPr>
          <w:hyperlink w:anchor="_Toc505345862" w:history="1">
            <w:r w:rsidR="003772F4" w:rsidRPr="00A142C4">
              <w:rPr>
                <w:rStyle w:val="Hyperlink"/>
                <w:noProof/>
              </w:rPr>
              <w:t>4</w:t>
            </w:r>
            <w:r w:rsidR="003772F4">
              <w:rPr>
                <w:rFonts w:asciiTheme="minorHAnsi" w:eastAsiaTheme="minorEastAsia" w:hAnsiTheme="minorHAnsi" w:cstheme="minorBidi"/>
                <w:b w:val="0"/>
                <w:noProof/>
                <w:color w:val="auto"/>
                <w:lang w:eastAsia="en-AU"/>
              </w:rPr>
              <w:tab/>
            </w:r>
            <w:r w:rsidR="003772F4" w:rsidRPr="00A142C4">
              <w:rPr>
                <w:rStyle w:val="Hyperlink"/>
                <w:noProof/>
              </w:rPr>
              <w:t>Estimation</w:t>
            </w:r>
            <w:r w:rsidR="003772F4">
              <w:rPr>
                <w:noProof/>
                <w:webHidden/>
              </w:rPr>
              <w:tab/>
            </w:r>
            <w:r w:rsidR="003772F4">
              <w:rPr>
                <w:noProof/>
                <w:webHidden/>
              </w:rPr>
              <w:fldChar w:fldCharType="begin"/>
            </w:r>
            <w:r w:rsidR="003772F4">
              <w:rPr>
                <w:noProof/>
                <w:webHidden/>
              </w:rPr>
              <w:instrText xml:space="preserve"> PAGEREF _Toc505345862 \h </w:instrText>
            </w:r>
            <w:r w:rsidR="003772F4">
              <w:rPr>
                <w:noProof/>
                <w:webHidden/>
              </w:rPr>
            </w:r>
            <w:r w:rsidR="003772F4">
              <w:rPr>
                <w:noProof/>
                <w:webHidden/>
              </w:rPr>
              <w:fldChar w:fldCharType="separate"/>
            </w:r>
            <w:r w:rsidR="00F709AB">
              <w:rPr>
                <w:noProof/>
                <w:webHidden/>
              </w:rPr>
              <w:t>18</w:t>
            </w:r>
            <w:r w:rsidR="003772F4">
              <w:rPr>
                <w:noProof/>
                <w:webHidden/>
              </w:rPr>
              <w:fldChar w:fldCharType="end"/>
            </w:r>
          </w:hyperlink>
        </w:p>
        <w:p w14:paraId="3BBED798" w14:textId="77777777" w:rsidR="003772F4" w:rsidRDefault="00220589">
          <w:pPr>
            <w:pStyle w:val="TOC2"/>
            <w:rPr>
              <w:rFonts w:asciiTheme="minorHAnsi" w:eastAsiaTheme="minorEastAsia" w:hAnsiTheme="minorHAnsi" w:cstheme="minorBidi"/>
              <w:color w:val="auto"/>
              <w:szCs w:val="22"/>
              <w:lang w:eastAsia="en-AU"/>
            </w:rPr>
          </w:pPr>
          <w:hyperlink w:anchor="_Toc505345863" w:history="1">
            <w:r w:rsidR="003772F4" w:rsidRPr="00A142C4">
              <w:rPr>
                <w:rStyle w:val="Hyperlink"/>
              </w:rPr>
              <w:t>Irrigation land use</w:t>
            </w:r>
            <w:r w:rsidR="003772F4">
              <w:rPr>
                <w:webHidden/>
              </w:rPr>
              <w:tab/>
            </w:r>
            <w:r w:rsidR="003772F4">
              <w:rPr>
                <w:webHidden/>
              </w:rPr>
              <w:fldChar w:fldCharType="begin"/>
            </w:r>
            <w:r w:rsidR="003772F4">
              <w:rPr>
                <w:webHidden/>
              </w:rPr>
              <w:instrText xml:space="preserve"> PAGEREF _Toc505345863 \h </w:instrText>
            </w:r>
            <w:r w:rsidR="003772F4">
              <w:rPr>
                <w:webHidden/>
              </w:rPr>
            </w:r>
            <w:r w:rsidR="003772F4">
              <w:rPr>
                <w:webHidden/>
              </w:rPr>
              <w:fldChar w:fldCharType="separate"/>
            </w:r>
            <w:r w:rsidR="00F709AB">
              <w:rPr>
                <w:webHidden/>
              </w:rPr>
              <w:t>18</w:t>
            </w:r>
            <w:r w:rsidR="003772F4">
              <w:rPr>
                <w:webHidden/>
              </w:rPr>
              <w:fldChar w:fldCharType="end"/>
            </w:r>
          </w:hyperlink>
        </w:p>
        <w:p w14:paraId="2361B744" w14:textId="77777777" w:rsidR="003772F4" w:rsidRDefault="00220589">
          <w:pPr>
            <w:pStyle w:val="TOC2"/>
            <w:rPr>
              <w:rFonts w:asciiTheme="minorHAnsi" w:eastAsiaTheme="minorEastAsia" w:hAnsiTheme="minorHAnsi" w:cstheme="minorBidi"/>
              <w:color w:val="auto"/>
              <w:szCs w:val="22"/>
              <w:lang w:eastAsia="en-AU"/>
            </w:rPr>
          </w:pPr>
          <w:hyperlink w:anchor="_Toc505345864" w:history="1">
            <w:r w:rsidR="003772F4" w:rsidRPr="00A142C4">
              <w:rPr>
                <w:rStyle w:val="Hyperlink"/>
              </w:rPr>
              <w:t>Water application rate</w:t>
            </w:r>
            <w:r w:rsidR="003772F4">
              <w:rPr>
                <w:webHidden/>
              </w:rPr>
              <w:tab/>
            </w:r>
            <w:r w:rsidR="003772F4">
              <w:rPr>
                <w:webHidden/>
              </w:rPr>
              <w:fldChar w:fldCharType="begin"/>
            </w:r>
            <w:r w:rsidR="003772F4">
              <w:rPr>
                <w:webHidden/>
              </w:rPr>
              <w:instrText xml:space="preserve"> PAGEREF _Toc505345864 \h </w:instrText>
            </w:r>
            <w:r w:rsidR="003772F4">
              <w:rPr>
                <w:webHidden/>
              </w:rPr>
            </w:r>
            <w:r w:rsidR="003772F4">
              <w:rPr>
                <w:webHidden/>
              </w:rPr>
              <w:fldChar w:fldCharType="separate"/>
            </w:r>
            <w:r w:rsidR="00F709AB">
              <w:rPr>
                <w:webHidden/>
              </w:rPr>
              <w:t>23</w:t>
            </w:r>
            <w:r w:rsidR="003772F4">
              <w:rPr>
                <w:webHidden/>
              </w:rPr>
              <w:fldChar w:fldCharType="end"/>
            </w:r>
          </w:hyperlink>
        </w:p>
        <w:p w14:paraId="76C06565" w14:textId="77777777" w:rsidR="003772F4" w:rsidRDefault="00220589">
          <w:pPr>
            <w:pStyle w:val="TOC2"/>
            <w:rPr>
              <w:rFonts w:asciiTheme="minorHAnsi" w:eastAsiaTheme="minorEastAsia" w:hAnsiTheme="minorHAnsi" w:cstheme="minorBidi"/>
              <w:color w:val="auto"/>
              <w:szCs w:val="22"/>
              <w:lang w:eastAsia="en-AU"/>
            </w:rPr>
          </w:pPr>
          <w:hyperlink w:anchor="_Toc505345865" w:history="1">
            <w:r w:rsidR="003772F4" w:rsidRPr="00A142C4">
              <w:rPr>
                <w:rStyle w:val="Hyperlink"/>
              </w:rPr>
              <w:t>Water demand in the NSW Lower Darling</w:t>
            </w:r>
            <w:r w:rsidR="003772F4">
              <w:rPr>
                <w:webHidden/>
              </w:rPr>
              <w:tab/>
            </w:r>
            <w:r w:rsidR="003772F4">
              <w:rPr>
                <w:webHidden/>
              </w:rPr>
              <w:fldChar w:fldCharType="begin"/>
            </w:r>
            <w:r w:rsidR="003772F4">
              <w:rPr>
                <w:webHidden/>
              </w:rPr>
              <w:instrText xml:space="preserve"> PAGEREF _Toc505345865 \h </w:instrText>
            </w:r>
            <w:r w:rsidR="003772F4">
              <w:rPr>
                <w:webHidden/>
              </w:rPr>
            </w:r>
            <w:r w:rsidR="003772F4">
              <w:rPr>
                <w:webHidden/>
              </w:rPr>
              <w:fldChar w:fldCharType="separate"/>
            </w:r>
            <w:r w:rsidR="00F709AB">
              <w:rPr>
                <w:webHidden/>
              </w:rPr>
              <w:t>26</w:t>
            </w:r>
            <w:r w:rsidR="003772F4">
              <w:rPr>
                <w:webHidden/>
              </w:rPr>
              <w:fldChar w:fldCharType="end"/>
            </w:r>
          </w:hyperlink>
        </w:p>
        <w:p w14:paraId="4DFECEA6" w14:textId="77777777" w:rsidR="003772F4" w:rsidRDefault="00220589">
          <w:pPr>
            <w:pStyle w:val="TOC2"/>
            <w:rPr>
              <w:rFonts w:asciiTheme="minorHAnsi" w:eastAsiaTheme="minorEastAsia" w:hAnsiTheme="minorHAnsi" w:cstheme="minorBidi"/>
              <w:color w:val="auto"/>
              <w:szCs w:val="22"/>
              <w:lang w:eastAsia="en-AU"/>
            </w:rPr>
          </w:pPr>
          <w:hyperlink w:anchor="_Toc505345866" w:history="1">
            <w:r w:rsidR="003772F4" w:rsidRPr="00A142C4">
              <w:rPr>
                <w:rStyle w:val="Hyperlink"/>
              </w:rPr>
              <w:t>Other water</w:t>
            </w:r>
            <w:r w:rsidR="003772F4">
              <w:rPr>
                <w:webHidden/>
              </w:rPr>
              <w:tab/>
            </w:r>
            <w:r w:rsidR="003772F4">
              <w:rPr>
                <w:webHidden/>
              </w:rPr>
              <w:fldChar w:fldCharType="begin"/>
            </w:r>
            <w:r w:rsidR="003772F4">
              <w:rPr>
                <w:webHidden/>
              </w:rPr>
              <w:instrText xml:space="preserve"> PAGEREF _Toc505345866 \h </w:instrText>
            </w:r>
            <w:r w:rsidR="003772F4">
              <w:rPr>
                <w:webHidden/>
              </w:rPr>
            </w:r>
            <w:r w:rsidR="003772F4">
              <w:rPr>
                <w:webHidden/>
              </w:rPr>
              <w:fldChar w:fldCharType="separate"/>
            </w:r>
            <w:r w:rsidR="00F709AB">
              <w:rPr>
                <w:webHidden/>
              </w:rPr>
              <w:t>26</w:t>
            </w:r>
            <w:r w:rsidR="003772F4">
              <w:rPr>
                <w:webHidden/>
              </w:rPr>
              <w:fldChar w:fldCharType="end"/>
            </w:r>
          </w:hyperlink>
        </w:p>
        <w:p w14:paraId="434A92FE" w14:textId="77777777" w:rsidR="003772F4" w:rsidRDefault="00220589">
          <w:pPr>
            <w:pStyle w:val="TOC4"/>
            <w:rPr>
              <w:rFonts w:asciiTheme="minorHAnsi" w:eastAsiaTheme="minorEastAsia" w:hAnsiTheme="minorHAnsi" w:cstheme="minorBidi"/>
              <w:b w:val="0"/>
              <w:noProof/>
              <w:color w:val="auto"/>
              <w:lang w:eastAsia="en-AU"/>
            </w:rPr>
          </w:pPr>
          <w:hyperlink w:anchor="_Toc505345867" w:history="1">
            <w:r w:rsidR="003772F4" w:rsidRPr="00A142C4">
              <w:rPr>
                <w:rStyle w:val="Hyperlink"/>
                <w:noProof/>
              </w:rPr>
              <w:t>5</w:t>
            </w:r>
            <w:r w:rsidR="003772F4">
              <w:rPr>
                <w:rFonts w:asciiTheme="minorHAnsi" w:eastAsiaTheme="minorEastAsia" w:hAnsiTheme="minorHAnsi" w:cstheme="minorBidi"/>
                <w:b w:val="0"/>
                <w:noProof/>
                <w:color w:val="auto"/>
                <w:lang w:eastAsia="en-AU"/>
              </w:rPr>
              <w:tab/>
            </w:r>
            <w:r w:rsidR="003772F4" w:rsidRPr="00A142C4">
              <w:rPr>
                <w:rStyle w:val="Hyperlink"/>
                <w:noProof/>
              </w:rPr>
              <w:t>Validation</w:t>
            </w:r>
            <w:r w:rsidR="003772F4">
              <w:rPr>
                <w:noProof/>
                <w:webHidden/>
              </w:rPr>
              <w:tab/>
            </w:r>
            <w:r w:rsidR="003772F4">
              <w:rPr>
                <w:noProof/>
                <w:webHidden/>
              </w:rPr>
              <w:fldChar w:fldCharType="begin"/>
            </w:r>
            <w:r w:rsidR="003772F4">
              <w:rPr>
                <w:noProof/>
                <w:webHidden/>
              </w:rPr>
              <w:instrText xml:space="preserve"> PAGEREF _Toc505345867 \h </w:instrText>
            </w:r>
            <w:r w:rsidR="003772F4">
              <w:rPr>
                <w:noProof/>
                <w:webHidden/>
              </w:rPr>
            </w:r>
            <w:r w:rsidR="003772F4">
              <w:rPr>
                <w:noProof/>
                <w:webHidden/>
              </w:rPr>
              <w:fldChar w:fldCharType="separate"/>
            </w:r>
            <w:r w:rsidR="00F709AB">
              <w:rPr>
                <w:noProof/>
                <w:webHidden/>
              </w:rPr>
              <w:t>27</w:t>
            </w:r>
            <w:r w:rsidR="003772F4">
              <w:rPr>
                <w:noProof/>
                <w:webHidden/>
              </w:rPr>
              <w:fldChar w:fldCharType="end"/>
            </w:r>
          </w:hyperlink>
        </w:p>
        <w:p w14:paraId="1EF5E834" w14:textId="77777777" w:rsidR="003772F4" w:rsidRDefault="00220589">
          <w:pPr>
            <w:pStyle w:val="TOC2"/>
            <w:rPr>
              <w:rFonts w:asciiTheme="minorHAnsi" w:eastAsiaTheme="minorEastAsia" w:hAnsiTheme="minorHAnsi" w:cstheme="minorBidi"/>
              <w:color w:val="auto"/>
              <w:szCs w:val="22"/>
              <w:lang w:eastAsia="en-AU"/>
            </w:rPr>
          </w:pPr>
          <w:hyperlink w:anchor="_Toc505345868" w:history="1">
            <w:r w:rsidR="003772F4" w:rsidRPr="00A142C4">
              <w:rPr>
                <w:rStyle w:val="Hyperlink"/>
              </w:rPr>
              <w:t>Water allocation prices</w:t>
            </w:r>
            <w:r w:rsidR="003772F4">
              <w:rPr>
                <w:webHidden/>
              </w:rPr>
              <w:tab/>
            </w:r>
            <w:r w:rsidR="003772F4">
              <w:rPr>
                <w:webHidden/>
              </w:rPr>
              <w:fldChar w:fldCharType="begin"/>
            </w:r>
            <w:r w:rsidR="003772F4">
              <w:rPr>
                <w:webHidden/>
              </w:rPr>
              <w:instrText xml:space="preserve"> PAGEREF _Toc505345868 \h </w:instrText>
            </w:r>
            <w:r w:rsidR="003772F4">
              <w:rPr>
                <w:webHidden/>
              </w:rPr>
            </w:r>
            <w:r w:rsidR="003772F4">
              <w:rPr>
                <w:webHidden/>
              </w:rPr>
              <w:fldChar w:fldCharType="separate"/>
            </w:r>
            <w:r w:rsidR="00F709AB">
              <w:rPr>
                <w:webHidden/>
              </w:rPr>
              <w:t>27</w:t>
            </w:r>
            <w:r w:rsidR="003772F4">
              <w:rPr>
                <w:webHidden/>
              </w:rPr>
              <w:fldChar w:fldCharType="end"/>
            </w:r>
          </w:hyperlink>
        </w:p>
        <w:p w14:paraId="5AD9C2C5" w14:textId="77777777" w:rsidR="003772F4" w:rsidRDefault="00220589">
          <w:pPr>
            <w:pStyle w:val="TOC2"/>
            <w:rPr>
              <w:rFonts w:asciiTheme="minorHAnsi" w:eastAsiaTheme="minorEastAsia" w:hAnsiTheme="minorHAnsi" w:cstheme="minorBidi"/>
              <w:color w:val="auto"/>
              <w:szCs w:val="22"/>
              <w:lang w:eastAsia="en-AU"/>
            </w:rPr>
          </w:pPr>
          <w:hyperlink w:anchor="_Toc505345869" w:history="1">
            <w:r w:rsidR="003772F4" w:rsidRPr="00A142C4">
              <w:rPr>
                <w:rStyle w:val="Hyperlink"/>
              </w:rPr>
              <w:t>Net trade flows</w:t>
            </w:r>
            <w:r w:rsidR="003772F4">
              <w:rPr>
                <w:webHidden/>
              </w:rPr>
              <w:tab/>
            </w:r>
            <w:r w:rsidR="003772F4">
              <w:rPr>
                <w:webHidden/>
              </w:rPr>
              <w:fldChar w:fldCharType="begin"/>
            </w:r>
            <w:r w:rsidR="003772F4">
              <w:rPr>
                <w:webHidden/>
              </w:rPr>
              <w:instrText xml:space="preserve"> PAGEREF _Toc505345869 \h </w:instrText>
            </w:r>
            <w:r w:rsidR="003772F4">
              <w:rPr>
                <w:webHidden/>
              </w:rPr>
            </w:r>
            <w:r w:rsidR="003772F4">
              <w:rPr>
                <w:webHidden/>
              </w:rPr>
              <w:fldChar w:fldCharType="separate"/>
            </w:r>
            <w:r w:rsidR="00F709AB">
              <w:rPr>
                <w:webHidden/>
              </w:rPr>
              <w:t>28</w:t>
            </w:r>
            <w:r w:rsidR="003772F4">
              <w:rPr>
                <w:webHidden/>
              </w:rPr>
              <w:fldChar w:fldCharType="end"/>
            </w:r>
          </w:hyperlink>
        </w:p>
        <w:p w14:paraId="6F11DC06" w14:textId="77777777" w:rsidR="003772F4" w:rsidRDefault="00220589">
          <w:pPr>
            <w:pStyle w:val="TOC2"/>
            <w:rPr>
              <w:rFonts w:asciiTheme="minorHAnsi" w:eastAsiaTheme="minorEastAsia" w:hAnsiTheme="minorHAnsi" w:cstheme="minorBidi"/>
              <w:color w:val="auto"/>
              <w:szCs w:val="22"/>
              <w:lang w:eastAsia="en-AU"/>
            </w:rPr>
          </w:pPr>
          <w:hyperlink w:anchor="_Toc505345870" w:history="1">
            <w:r w:rsidR="003772F4" w:rsidRPr="00A142C4">
              <w:rPr>
                <w:rStyle w:val="Hyperlink"/>
              </w:rPr>
              <w:t>Irrigation activity</w:t>
            </w:r>
            <w:r w:rsidR="003772F4">
              <w:rPr>
                <w:webHidden/>
              </w:rPr>
              <w:tab/>
            </w:r>
            <w:r w:rsidR="003772F4">
              <w:rPr>
                <w:webHidden/>
              </w:rPr>
              <w:fldChar w:fldCharType="begin"/>
            </w:r>
            <w:r w:rsidR="003772F4">
              <w:rPr>
                <w:webHidden/>
              </w:rPr>
              <w:instrText xml:space="preserve"> PAGEREF _Toc505345870 \h </w:instrText>
            </w:r>
            <w:r w:rsidR="003772F4">
              <w:rPr>
                <w:webHidden/>
              </w:rPr>
            </w:r>
            <w:r w:rsidR="003772F4">
              <w:rPr>
                <w:webHidden/>
              </w:rPr>
              <w:fldChar w:fldCharType="separate"/>
            </w:r>
            <w:r w:rsidR="00F709AB">
              <w:rPr>
                <w:webHidden/>
              </w:rPr>
              <w:t>29</w:t>
            </w:r>
            <w:r w:rsidR="003772F4">
              <w:rPr>
                <w:webHidden/>
              </w:rPr>
              <w:fldChar w:fldCharType="end"/>
            </w:r>
          </w:hyperlink>
        </w:p>
        <w:p w14:paraId="1B32D7EE" w14:textId="77777777" w:rsidR="003772F4" w:rsidRDefault="00220589">
          <w:pPr>
            <w:pStyle w:val="TOC2"/>
            <w:rPr>
              <w:rFonts w:asciiTheme="minorHAnsi" w:eastAsiaTheme="minorEastAsia" w:hAnsiTheme="minorHAnsi" w:cstheme="minorBidi"/>
              <w:color w:val="auto"/>
              <w:szCs w:val="22"/>
              <w:lang w:eastAsia="en-AU"/>
            </w:rPr>
          </w:pPr>
          <w:hyperlink w:anchor="_Toc505345871" w:history="1">
            <w:r w:rsidR="003772F4" w:rsidRPr="00A142C4">
              <w:rPr>
                <w:rStyle w:val="Hyperlink"/>
              </w:rPr>
              <w:t>Entitlement prices</w:t>
            </w:r>
            <w:r w:rsidR="003772F4">
              <w:rPr>
                <w:webHidden/>
              </w:rPr>
              <w:tab/>
            </w:r>
            <w:r w:rsidR="003772F4">
              <w:rPr>
                <w:webHidden/>
              </w:rPr>
              <w:fldChar w:fldCharType="begin"/>
            </w:r>
            <w:r w:rsidR="003772F4">
              <w:rPr>
                <w:webHidden/>
              </w:rPr>
              <w:instrText xml:space="preserve"> PAGEREF _Toc505345871 \h </w:instrText>
            </w:r>
            <w:r w:rsidR="003772F4">
              <w:rPr>
                <w:webHidden/>
              </w:rPr>
            </w:r>
            <w:r w:rsidR="003772F4">
              <w:rPr>
                <w:webHidden/>
              </w:rPr>
              <w:fldChar w:fldCharType="separate"/>
            </w:r>
            <w:r w:rsidR="00F709AB">
              <w:rPr>
                <w:webHidden/>
              </w:rPr>
              <w:t>30</w:t>
            </w:r>
            <w:r w:rsidR="003772F4">
              <w:rPr>
                <w:webHidden/>
              </w:rPr>
              <w:fldChar w:fldCharType="end"/>
            </w:r>
          </w:hyperlink>
        </w:p>
        <w:p w14:paraId="089281C8" w14:textId="77777777" w:rsidR="003772F4" w:rsidRDefault="00220589">
          <w:pPr>
            <w:pStyle w:val="TOC2"/>
            <w:rPr>
              <w:rFonts w:asciiTheme="minorHAnsi" w:eastAsiaTheme="minorEastAsia" w:hAnsiTheme="minorHAnsi" w:cstheme="minorBidi"/>
              <w:color w:val="auto"/>
              <w:szCs w:val="22"/>
              <w:lang w:eastAsia="en-AU"/>
            </w:rPr>
          </w:pPr>
          <w:hyperlink w:anchor="_Toc505345872" w:history="1">
            <w:r w:rsidR="003772F4" w:rsidRPr="00A142C4">
              <w:rPr>
                <w:rStyle w:val="Hyperlink"/>
              </w:rPr>
              <w:t>Performance of the baseline scenario</w:t>
            </w:r>
            <w:r w:rsidR="003772F4">
              <w:rPr>
                <w:webHidden/>
              </w:rPr>
              <w:tab/>
            </w:r>
            <w:r w:rsidR="003772F4">
              <w:rPr>
                <w:webHidden/>
              </w:rPr>
              <w:fldChar w:fldCharType="begin"/>
            </w:r>
            <w:r w:rsidR="003772F4">
              <w:rPr>
                <w:webHidden/>
              </w:rPr>
              <w:instrText xml:space="preserve"> PAGEREF _Toc505345872 \h </w:instrText>
            </w:r>
            <w:r w:rsidR="003772F4">
              <w:rPr>
                <w:webHidden/>
              </w:rPr>
            </w:r>
            <w:r w:rsidR="003772F4">
              <w:rPr>
                <w:webHidden/>
              </w:rPr>
              <w:fldChar w:fldCharType="separate"/>
            </w:r>
            <w:r w:rsidR="00F709AB">
              <w:rPr>
                <w:webHidden/>
              </w:rPr>
              <w:t>32</w:t>
            </w:r>
            <w:r w:rsidR="003772F4">
              <w:rPr>
                <w:webHidden/>
              </w:rPr>
              <w:fldChar w:fldCharType="end"/>
            </w:r>
          </w:hyperlink>
        </w:p>
        <w:p w14:paraId="77899199" w14:textId="77777777" w:rsidR="003772F4" w:rsidRDefault="00220589">
          <w:pPr>
            <w:pStyle w:val="TOC4"/>
            <w:rPr>
              <w:rFonts w:asciiTheme="minorHAnsi" w:eastAsiaTheme="minorEastAsia" w:hAnsiTheme="minorHAnsi" w:cstheme="minorBidi"/>
              <w:b w:val="0"/>
              <w:noProof/>
              <w:color w:val="auto"/>
              <w:lang w:eastAsia="en-AU"/>
            </w:rPr>
          </w:pPr>
          <w:hyperlink w:anchor="_Toc505345873" w:history="1">
            <w:r w:rsidR="003772F4" w:rsidRPr="00A142C4">
              <w:rPr>
                <w:rStyle w:val="Hyperlink"/>
                <w:noProof/>
              </w:rPr>
              <w:t>6</w:t>
            </w:r>
            <w:r w:rsidR="003772F4">
              <w:rPr>
                <w:rFonts w:asciiTheme="minorHAnsi" w:eastAsiaTheme="minorEastAsia" w:hAnsiTheme="minorHAnsi" w:cstheme="minorBidi"/>
                <w:b w:val="0"/>
                <w:noProof/>
                <w:color w:val="auto"/>
                <w:lang w:eastAsia="en-AU"/>
              </w:rPr>
              <w:tab/>
            </w:r>
            <w:r w:rsidR="003772F4" w:rsidRPr="00A142C4">
              <w:rPr>
                <w:rStyle w:val="Hyperlink"/>
                <w:noProof/>
              </w:rPr>
              <w:t>Conclusions</w:t>
            </w:r>
            <w:r w:rsidR="003772F4">
              <w:rPr>
                <w:noProof/>
                <w:webHidden/>
              </w:rPr>
              <w:tab/>
            </w:r>
            <w:r w:rsidR="003772F4">
              <w:rPr>
                <w:noProof/>
                <w:webHidden/>
              </w:rPr>
              <w:fldChar w:fldCharType="begin"/>
            </w:r>
            <w:r w:rsidR="003772F4">
              <w:rPr>
                <w:noProof/>
                <w:webHidden/>
              </w:rPr>
              <w:instrText xml:space="preserve"> PAGEREF _Toc505345873 \h </w:instrText>
            </w:r>
            <w:r w:rsidR="003772F4">
              <w:rPr>
                <w:noProof/>
                <w:webHidden/>
              </w:rPr>
            </w:r>
            <w:r w:rsidR="003772F4">
              <w:rPr>
                <w:noProof/>
                <w:webHidden/>
              </w:rPr>
              <w:fldChar w:fldCharType="separate"/>
            </w:r>
            <w:r w:rsidR="00F709AB">
              <w:rPr>
                <w:noProof/>
                <w:webHidden/>
              </w:rPr>
              <w:t>33</w:t>
            </w:r>
            <w:r w:rsidR="003772F4">
              <w:rPr>
                <w:noProof/>
                <w:webHidden/>
              </w:rPr>
              <w:fldChar w:fldCharType="end"/>
            </w:r>
          </w:hyperlink>
        </w:p>
        <w:p w14:paraId="73A38068" w14:textId="77777777" w:rsidR="003772F4" w:rsidRDefault="00220589">
          <w:pPr>
            <w:pStyle w:val="TOC2"/>
            <w:rPr>
              <w:rFonts w:asciiTheme="minorHAnsi" w:eastAsiaTheme="minorEastAsia" w:hAnsiTheme="minorHAnsi" w:cstheme="minorBidi"/>
              <w:color w:val="auto"/>
              <w:szCs w:val="22"/>
              <w:lang w:eastAsia="en-AU"/>
            </w:rPr>
          </w:pPr>
          <w:hyperlink w:anchor="_Toc505345874" w:history="1">
            <w:r w:rsidR="003772F4" w:rsidRPr="00A142C4">
              <w:rPr>
                <w:rStyle w:val="Hyperlink"/>
              </w:rPr>
              <w:t>Future model development</w:t>
            </w:r>
            <w:r w:rsidR="003772F4">
              <w:rPr>
                <w:webHidden/>
              </w:rPr>
              <w:tab/>
            </w:r>
            <w:r w:rsidR="003772F4">
              <w:rPr>
                <w:webHidden/>
              </w:rPr>
              <w:fldChar w:fldCharType="begin"/>
            </w:r>
            <w:r w:rsidR="003772F4">
              <w:rPr>
                <w:webHidden/>
              </w:rPr>
              <w:instrText xml:space="preserve"> PAGEREF _Toc505345874 \h </w:instrText>
            </w:r>
            <w:r w:rsidR="003772F4">
              <w:rPr>
                <w:webHidden/>
              </w:rPr>
            </w:r>
            <w:r w:rsidR="003772F4">
              <w:rPr>
                <w:webHidden/>
              </w:rPr>
              <w:fldChar w:fldCharType="separate"/>
            </w:r>
            <w:r w:rsidR="00F709AB">
              <w:rPr>
                <w:webHidden/>
              </w:rPr>
              <w:t>33</w:t>
            </w:r>
            <w:r w:rsidR="003772F4">
              <w:rPr>
                <w:webHidden/>
              </w:rPr>
              <w:fldChar w:fldCharType="end"/>
            </w:r>
          </w:hyperlink>
        </w:p>
        <w:p w14:paraId="6282104A" w14:textId="77777777" w:rsidR="003772F4" w:rsidRDefault="00220589">
          <w:pPr>
            <w:pStyle w:val="TOC2"/>
            <w:rPr>
              <w:rFonts w:asciiTheme="minorHAnsi" w:eastAsiaTheme="minorEastAsia" w:hAnsiTheme="minorHAnsi" w:cstheme="minorBidi"/>
              <w:color w:val="auto"/>
              <w:szCs w:val="22"/>
              <w:lang w:eastAsia="en-AU"/>
            </w:rPr>
          </w:pPr>
          <w:hyperlink w:anchor="_Toc505345875" w:history="1">
            <w:r w:rsidR="003772F4" w:rsidRPr="00A142C4">
              <w:rPr>
                <w:rStyle w:val="Hyperlink"/>
              </w:rPr>
              <w:t>Potential applications</w:t>
            </w:r>
            <w:r w:rsidR="003772F4">
              <w:rPr>
                <w:webHidden/>
              </w:rPr>
              <w:tab/>
            </w:r>
            <w:r w:rsidR="003772F4">
              <w:rPr>
                <w:webHidden/>
              </w:rPr>
              <w:fldChar w:fldCharType="begin"/>
            </w:r>
            <w:r w:rsidR="003772F4">
              <w:rPr>
                <w:webHidden/>
              </w:rPr>
              <w:instrText xml:space="preserve"> PAGEREF _Toc505345875 \h </w:instrText>
            </w:r>
            <w:r w:rsidR="003772F4">
              <w:rPr>
                <w:webHidden/>
              </w:rPr>
            </w:r>
            <w:r w:rsidR="003772F4">
              <w:rPr>
                <w:webHidden/>
              </w:rPr>
              <w:fldChar w:fldCharType="separate"/>
            </w:r>
            <w:r w:rsidR="00F709AB">
              <w:rPr>
                <w:webHidden/>
              </w:rPr>
              <w:t>34</w:t>
            </w:r>
            <w:r w:rsidR="003772F4">
              <w:rPr>
                <w:webHidden/>
              </w:rPr>
              <w:fldChar w:fldCharType="end"/>
            </w:r>
          </w:hyperlink>
        </w:p>
        <w:p w14:paraId="32B7C020" w14:textId="77777777" w:rsidR="003772F4" w:rsidRDefault="00220589">
          <w:pPr>
            <w:pStyle w:val="TOC4"/>
            <w:rPr>
              <w:rFonts w:asciiTheme="minorHAnsi" w:eastAsiaTheme="minorEastAsia" w:hAnsiTheme="minorHAnsi" w:cstheme="minorBidi"/>
              <w:b w:val="0"/>
              <w:noProof/>
              <w:color w:val="auto"/>
              <w:lang w:eastAsia="en-AU"/>
            </w:rPr>
          </w:pPr>
          <w:hyperlink w:anchor="_Toc505345876" w:history="1">
            <w:r w:rsidR="003772F4" w:rsidRPr="00A142C4">
              <w:rPr>
                <w:rStyle w:val="Hyperlink"/>
                <w:noProof/>
              </w:rPr>
              <w:t>7</w:t>
            </w:r>
            <w:r w:rsidR="003772F4">
              <w:rPr>
                <w:rFonts w:asciiTheme="minorHAnsi" w:eastAsiaTheme="minorEastAsia" w:hAnsiTheme="minorHAnsi" w:cstheme="minorBidi"/>
                <w:b w:val="0"/>
                <w:noProof/>
                <w:color w:val="auto"/>
                <w:lang w:eastAsia="en-AU"/>
              </w:rPr>
              <w:tab/>
            </w:r>
            <w:r w:rsidR="003772F4" w:rsidRPr="00A142C4">
              <w:rPr>
                <w:rStyle w:val="Hyperlink"/>
                <w:noProof/>
              </w:rPr>
              <w:t>References</w:t>
            </w:r>
            <w:r w:rsidR="003772F4">
              <w:rPr>
                <w:noProof/>
                <w:webHidden/>
              </w:rPr>
              <w:tab/>
            </w:r>
            <w:r w:rsidR="003772F4">
              <w:rPr>
                <w:noProof/>
                <w:webHidden/>
              </w:rPr>
              <w:fldChar w:fldCharType="begin"/>
            </w:r>
            <w:r w:rsidR="003772F4">
              <w:rPr>
                <w:noProof/>
                <w:webHidden/>
              </w:rPr>
              <w:instrText xml:space="preserve"> PAGEREF _Toc505345876 \h </w:instrText>
            </w:r>
            <w:r w:rsidR="003772F4">
              <w:rPr>
                <w:noProof/>
                <w:webHidden/>
              </w:rPr>
            </w:r>
            <w:r w:rsidR="003772F4">
              <w:rPr>
                <w:noProof/>
                <w:webHidden/>
              </w:rPr>
              <w:fldChar w:fldCharType="separate"/>
            </w:r>
            <w:r w:rsidR="00F709AB">
              <w:rPr>
                <w:noProof/>
                <w:webHidden/>
              </w:rPr>
              <w:t>35</w:t>
            </w:r>
            <w:r w:rsidR="003772F4">
              <w:rPr>
                <w:noProof/>
                <w:webHidden/>
              </w:rPr>
              <w:fldChar w:fldCharType="end"/>
            </w:r>
          </w:hyperlink>
        </w:p>
        <w:p w14:paraId="4E524BEA" w14:textId="77777777" w:rsidR="003772F4" w:rsidRDefault="00220589">
          <w:pPr>
            <w:pStyle w:val="TOC1"/>
            <w:rPr>
              <w:rFonts w:asciiTheme="minorHAnsi" w:eastAsiaTheme="minorEastAsia" w:hAnsiTheme="minorHAnsi" w:cstheme="minorBidi"/>
              <w:b w:val="0"/>
              <w:color w:val="auto"/>
              <w:lang w:eastAsia="en-AU"/>
            </w:rPr>
          </w:pPr>
          <w:hyperlink w:anchor="_Toc505345877" w:history="1">
            <w:r w:rsidR="003772F4" w:rsidRPr="00A142C4">
              <w:rPr>
                <w:rStyle w:val="Hyperlink"/>
              </w:rPr>
              <w:t>Appendix A: Dataset construction</w:t>
            </w:r>
            <w:r w:rsidR="003772F4">
              <w:rPr>
                <w:webHidden/>
              </w:rPr>
              <w:tab/>
            </w:r>
            <w:r w:rsidR="003772F4">
              <w:rPr>
                <w:webHidden/>
              </w:rPr>
              <w:fldChar w:fldCharType="begin"/>
            </w:r>
            <w:r w:rsidR="003772F4">
              <w:rPr>
                <w:webHidden/>
              </w:rPr>
              <w:instrText xml:space="preserve"> PAGEREF _Toc505345877 \h </w:instrText>
            </w:r>
            <w:r w:rsidR="003772F4">
              <w:rPr>
                <w:webHidden/>
              </w:rPr>
            </w:r>
            <w:r w:rsidR="003772F4">
              <w:rPr>
                <w:webHidden/>
              </w:rPr>
              <w:fldChar w:fldCharType="separate"/>
            </w:r>
            <w:r w:rsidR="00F709AB">
              <w:rPr>
                <w:webHidden/>
              </w:rPr>
              <w:t>38</w:t>
            </w:r>
            <w:r w:rsidR="003772F4">
              <w:rPr>
                <w:webHidden/>
              </w:rPr>
              <w:fldChar w:fldCharType="end"/>
            </w:r>
          </w:hyperlink>
        </w:p>
        <w:p w14:paraId="46372401" w14:textId="77777777" w:rsidR="003772F4" w:rsidRDefault="00220589">
          <w:pPr>
            <w:pStyle w:val="TOC2"/>
            <w:rPr>
              <w:rFonts w:asciiTheme="minorHAnsi" w:eastAsiaTheme="minorEastAsia" w:hAnsiTheme="minorHAnsi" w:cstheme="minorBidi"/>
              <w:color w:val="auto"/>
              <w:szCs w:val="22"/>
              <w:lang w:eastAsia="en-AU"/>
            </w:rPr>
          </w:pPr>
          <w:hyperlink w:anchor="_Toc505345878" w:history="1">
            <w:r w:rsidR="003772F4" w:rsidRPr="00A142C4">
              <w:rPr>
                <w:rStyle w:val="Hyperlink"/>
              </w:rPr>
              <w:t>Rainfall</w:t>
            </w:r>
            <w:r w:rsidR="003772F4">
              <w:rPr>
                <w:webHidden/>
              </w:rPr>
              <w:tab/>
            </w:r>
            <w:r w:rsidR="003772F4">
              <w:rPr>
                <w:webHidden/>
              </w:rPr>
              <w:fldChar w:fldCharType="begin"/>
            </w:r>
            <w:r w:rsidR="003772F4">
              <w:rPr>
                <w:webHidden/>
              </w:rPr>
              <w:instrText xml:space="preserve"> PAGEREF _Toc505345878 \h </w:instrText>
            </w:r>
            <w:r w:rsidR="003772F4">
              <w:rPr>
                <w:webHidden/>
              </w:rPr>
            </w:r>
            <w:r w:rsidR="003772F4">
              <w:rPr>
                <w:webHidden/>
              </w:rPr>
              <w:fldChar w:fldCharType="separate"/>
            </w:r>
            <w:r w:rsidR="00F709AB">
              <w:rPr>
                <w:webHidden/>
              </w:rPr>
              <w:t>38</w:t>
            </w:r>
            <w:r w:rsidR="003772F4">
              <w:rPr>
                <w:webHidden/>
              </w:rPr>
              <w:fldChar w:fldCharType="end"/>
            </w:r>
          </w:hyperlink>
        </w:p>
        <w:p w14:paraId="4C6D0597" w14:textId="77777777" w:rsidR="003772F4" w:rsidRDefault="00220589">
          <w:pPr>
            <w:pStyle w:val="TOC2"/>
            <w:rPr>
              <w:rFonts w:asciiTheme="minorHAnsi" w:eastAsiaTheme="minorEastAsia" w:hAnsiTheme="minorHAnsi" w:cstheme="minorBidi"/>
              <w:color w:val="auto"/>
              <w:szCs w:val="22"/>
              <w:lang w:eastAsia="en-AU"/>
            </w:rPr>
          </w:pPr>
          <w:hyperlink w:anchor="_Toc505345879" w:history="1">
            <w:r w:rsidR="003772F4" w:rsidRPr="00A142C4">
              <w:rPr>
                <w:rStyle w:val="Hyperlink"/>
              </w:rPr>
              <w:t>Allocations and carryover</w:t>
            </w:r>
            <w:r w:rsidR="003772F4">
              <w:rPr>
                <w:webHidden/>
              </w:rPr>
              <w:tab/>
            </w:r>
            <w:r w:rsidR="003772F4">
              <w:rPr>
                <w:webHidden/>
              </w:rPr>
              <w:fldChar w:fldCharType="begin"/>
            </w:r>
            <w:r w:rsidR="003772F4">
              <w:rPr>
                <w:webHidden/>
              </w:rPr>
              <w:instrText xml:space="preserve"> PAGEREF _Toc505345879 \h </w:instrText>
            </w:r>
            <w:r w:rsidR="003772F4">
              <w:rPr>
                <w:webHidden/>
              </w:rPr>
            </w:r>
            <w:r w:rsidR="003772F4">
              <w:rPr>
                <w:webHidden/>
              </w:rPr>
              <w:fldChar w:fldCharType="separate"/>
            </w:r>
            <w:r w:rsidR="00F709AB">
              <w:rPr>
                <w:webHidden/>
              </w:rPr>
              <w:t>40</w:t>
            </w:r>
            <w:r w:rsidR="003772F4">
              <w:rPr>
                <w:webHidden/>
              </w:rPr>
              <w:fldChar w:fldCharType="end"/>
            </w:r>
          </w:hyperlink>
        </w:p>
        <w:p w14:paraId="0D7C59C9" w14:textId="77777777" w:rsidR="003772F4" w:rsidRDefault="00220589">
          <w:pPr>
            <w:pStyle w:val="TOC2"/>
            <w:rPr>
              <w:rFonts w:asciiTheme="minorHAnsi" w:eastAsiaTheme="minorEastAsia" w:hAnsiTheme="minorHAnsi" w:cstheme="minorBidi"/>
              <w:color w:val="auto"/>
              <w:szCs w:val="22"/>
              <w:lang w:eastAsia="en-AU"/>
            </w:rPr>
          </w:pPr>
          <w:hyperlink w:anchor="_Toc505345880" w:history="1">
            <w:r w:rsidR="003772F4" w:rsidRPr="00A142C4">
              <w:rPr>
                <w:rStyle w:val="Hyperlink"/>
              </w:rPr>
              <w:t>Water allocation prices</w:t>
            </w:r>
            <w:r w:rsidR="003772F4">
              <w:rPr>
                <w:webHidden/>
              </w:rPr>
              <w:tab/>
            </w:r>
            <w:r w:rsidR="003772F4">
              <w:rPr>
                <w:webHidden/>
              </w:rPr>
              <w:fldChar w:fldCharType="begin"/>
            </w:r>
            <w:r w:rsidR="003772F4">
              <w:rPr>
                <w:webHidden/>
              </w:rPr>
              <w:instrText xml:space="preserve"> PAGEREF _Toc505345880 \h </w:instrText>
            </w:r>
            <w:r w:rsidR="003772F4">
              <w:rPr>
                <w:webHidden/>
              </w:rPr>
            </w:r>
            <w:r w:rsidR="003772F4">
              <w:rPr>
                <w:webHidden/>
              </w:rPr>
              <w:fldChar w:fldCharType="separate"/>
            </w:r>
            <w:r w:rsidR="00F709AB">
              <w:rPr>
                <w:webHidden/>
              </w:rPr>
              <w:t>40</w:t>
            </w:r>
            <w:r w:rsidR="003772F4">
              <w:rPr>
                <w:webHidden/>
              </w:rPr>
              <w:fldChar w:fldCharType="end"/>
            </w:r>
          </w:hyperlink>
        </w:p>
        <w:p w14:paraId="768D2505" w14:textId="77777777" w:rsidR="003772F4" w:rsidRDefault="00220589">
          <w:pPr>
            <w:pStyle w:val="TOC2"/>
            <w:rPr>
              <w:rFonts w:asciiTheme="minorHAnsi" w:eastAsiaTheme="minorEastAsia" w:hAnsiTheme="minorHAnsi" w:cstheme="minorBidi"/>
              <w:color w:val="auto"/>
              <w:szCs w:val="22"/>
              <w:lang w:eastAsia="en-AU"/>
            </w:rPr>
          </w:pPr>
          <w:hyperlink w:anchor="_Toc505345881" w:history="1">
            <w:r w:rsidR="003772F4" w:rsidRPr="00A142C4">
              <w:rPr>
                <w:rStyle w:val="Hyperlink"/>
              </w:rPr>
              <w:t>ABS data</w:t>
            </w:r>
            <w:r w:rsidR="003772F4">
              <w:rPr>
                <w:webHidden/>
              </w:rPr>
              <w:tab/>
            </w:r>
            <w:r w:rsidR="003772F4">
              <w:rPr>
                <w:webHidden/>
              </w:rPr>
              <w:fldChar w:fldCharType="begin"/>
            </w:r>
            <w:r w:rsidR="003772F4">
              <w:rPr>
                <w:webHidden/>
              </w:rPr>
              <w:instrText xml:space="preserve"> PAGEREF _Toc505345881 \h </w:instrText>
            </w:r>
            <w:r w:rsidR="003772F4">
              <w:rPr>
                <w:webHidden/>
              </w:rPr>
            </w:r>
            <w:r w:rsidR="003772F4">
              <w:rPr>
                <w:webHidden/>
              </w:rPr>
              <w:fldChar w:fldCharType="separate"/>
            </w:r>
            <w:r w:rsidR="00F709AB">
              <w:rPr>
                <w:webHidden/>
              </w:rPr>
              <w:t>41</w:t>
            </w:r>
            <w:r w:rsidR="003772F4">
              <w:rPr>
                <w:webHidden/>
              </w:rPr>
              <w:fldChar w:fldCharType="end"/>
            </w:r>
          </w:hyperlink>
        </w:p>
        <w:p w14:paraId="1FD22914" w14:textId="77777777" w:rsidR="003772F4" w:rsidRDefault="00220589">
          <w:pPr>
            <w:pStyle w:val="TOC2"/>
            <w:rPr>
              <w:rFonts w:asciiTheme="minorHAnsi" w:eastAsiaTheme="minorEastAsia" w:hAnsiTheme="minorHAnsi" w:cstheme="minorBidi"/>
              <w:color w:val="auto"/>
              <w:szCs w:val="22"/>
              <w:lang w:eastAsia="en-AU"/>
            </w:rPr>
          </w:pPr>
          <w:hyperlink w:anchor="_Toc505345882" w:history="1">
            <w:r w:rsidR="003772F4" w:rsidRPr="00A142C4">
              <w:rPr>
                <w:rStyle w:val="Hyperlink"/>
              </w:rPr>
              <w:t>Commodity prices</w:t>
            </w:r>
            <w:r w:rsidR="003772F4">
              <w:rPr>
                <w:webHidden/>
              </w:rPr>
              <w:tab/>
            </w:r>
            <w:r w:rsidR="003772F4">
              <w:rPr>
                <w:webHidden/>
              </w:rPr>
              <w:fldChar w:fldCharType="begin"/>
            </w:r>
            <w:r w:rsidR="003772F4">
              <w:rPr>
                <w:webHidden/>
              </w:rPr>
              <w:instrText xml:space="preserve"> PAGEREF _Toc505345882 \h </w:instrText>
            </w:r>
            <w:r w:rsidR="003772F4">
              <w:rPr>
                <w:webHidden/>
              </w:rPr>
            </w:r>
            <w:r w:rsidR="003772F4">
              <w:rPr>
                <w:webHidden/>
              </w:rPr>
              <w:fldChar w:fldCharType="separate"/>
            </w:r>
            <w:r w:rsidR="00F709AB">
              <w:rPr>
                <w:webHidden/>
              </w:rPr>
              <w:t>47</w:t>
            </w:r>
            <w:r w:rsidR="003772F4">
              <w:rPr>
                <w:webHidden/>
              </w:rPr>
              <w:fldChar w:fldCharType="end"/>
            </w:r>
          </w:hyperlink>
        </w:p>
        <w:p w14:paraId="5C7EAC45" w14:textId="77777777" w:rsidR="003772F4" w:rsidRDefault="00220589">
          <w:pPr>
            <w:pStyle w:val="TOC1"/>
            <w:rPr>
              <w:rFonts w:asciiTheme="minorHAnsi" w:eastAsiaTheme="minorEastAsia" w:hAnsiTheme="minorHAnsi" w:cstheme="minorBidi"/>
              <w:b w:val="0"/>
              <w:color w:val="auto"/>
              <w:lang w:eastAsia="en-AU"/>
            </w:rPr>
          </w:pPr>
          <w:hyperlink w:anchor="_Toc505345883" w:history="1">
            <w:r w:rsidR="003772F4" w:rsidRPr="00A142C4">
              <w:rPr>
                <w:rStyle w:val="Hyperlink"/>
              </w:rPr>
              <w:t>Appendix B: Solution algorithm</w:t>
            </w:r>
            <w:r w:rsidR="003772F4">
              <w:rPr>
                <w:webHidden/>
              </w:rPr>
              <w:tab/>
            </w:r>
            <w:r w:rsidR="003772F4">
              <w:rPr>
                <w:webHidden/>
              </w:rPr>
              <w:fldChar w:fldCharType="begin"/>
            </w:r>
            <w:r w:rsidR="003772F4">
              <w:rPr>
                <w:webHidden/>
              </w:rPr>
              <w:instrText xml:space="preserve"> PAGEREF _Toc505345883 \h </w:instrText>
            </w:r>
            <w:r w:rsidR="003772F4">
              <w:rPr>
                <w:webHidden/>
              </w:rPr>
            </w:r>
            <w:r w:rsidR="003772F4">
              <w:rPr>
                <w:webHidden/>
              </w:rPr>
              <w:fldChar w:fldCharType="separate"/>
            </w:r>
            <w:r w:rsidR="00F709AB">
              <w:rPr>
                <w:webHidden/>
              </w:rPr>
              <w:t>49</w:t>
            </w:r>
            <w:r w:rsidR="003772F4">
              <w:rPr>
                <w:webHidden/>
              </w:rPr>
              <w:fldChar w:fldCharType="end"/>
            </w:r>
          </w:hyperlink>
        </w:p>
        <w:p w14:paraId="72A3B5E9" w14:textId="77777777" w:rsidR="00AE77A4" w:rsidRDefault="0045242F" w:rsidP="00823475">
          <w:pPr>
            <w:pStyle w:val="TOC1"/>
          </w:pPr>
          <w:r>
            <w:fldChar w:fldCharType="end"/>
          </w:r>
        </w:p>
        <w:p w14:paraId="02905DB5" w14:textId="0D869BBE" w:rsidR="0045242F" w:rsidRPr="00AE77A4" w:rsidRDefault="00220589" w:rsidP="00AE77A4"/>
      </w:sdtContent>
    </w:sdt>
    <w:p w14:paraId="7767AA9D" w14:textId="77777777" w:rsidR="00ED3AA7" w:rsidRDefault="00ED3AA7" w:rsidP="00316924">
      <w:pPr>
        <w:pStyle w:val="TOCHeading"/>
        <w:spacing w:before="0"/>
      </w:pPr>
      <w:r>
        <w:t>Tables</w:t>
      </w:r>
    </w:p>
    <w:p w14:paraId="6332D59C" w14:textId="77777777" w:rsidR="003772F4" w:rsidRPr="003772F4" w:rsidRDefault="00ED3AA7">
      <w:pPr>
        <w:pStyle w:val="TableofFigures"/>
        <w:rPr>
          <w:rFonts w:asciiTheme="minorHAnsi" w:eastAsiaTheme="minorEastAsia" w:hAnsiTheme="minorHAnsi" w:cstheme="minorBidi"/>
          <w:b w:val="0"/>
          <w:color w:val="auto"/>
          <w:lang w:eastAsia="en-AU"/>
        </w:rPr>
      </w:pPr>
      <w:r w:rsidRPr="003772F4">
        <w:rPr>
          <w:b w:val="0"/>
          <w:bCs/>
        </w:rPr>
        <w:fldChar w:fldCharType="begin"/>
      </w:r>
      <w:r w:rsidRPr="003772F4">
        <w:rPr>
          <w:b w:val="0"/>
          <w:bCs/>
        </w:rPr>
        <w:instrText xml:space="preserve"> TOC </w:instrText>
      </w:r>
      <w:r w:rsidRPr="003772F4">
        <w:rPr>
          <w:b w:val="0"/>
        </w:rPr>
        <w:instrText>\h</w:instrText>
      </w:r>
      <w:r w:rsidRPr="003772F4">
        <w:rPr>
          <w:b w:val="0"/>
          <w:bCs/>
        </w:rPr>
        <w:instrText xml:space="preserve"> \z \c "Table"</w:instrText>
      </w:r>
      <w:r w:rsidRPr="003772F4">
        <w:rPr>
          <w:b w:val="0"/>
          <w:bCs/>
        </w:rPr>
        <w:fldChar w:fldCharType="separate"/>
      </w:r>
      <w:hyperlink w:anchor="_Toc505345884" w:history="1">
        <w:r w:rsidR="003772F4" w:rsidRPr="003772F4">
          <w:rPr>
            <w:rStyle w:val="Hyperlink"/>
            <w:b w:val="0"/>
          </w:rPr>
          <w:t>Table 1 Key variables in the final dataset</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_Toc505345884 \h </w:instrText>
        </w:r>
        <w:r w:rsidR="003772F4" w:rsidRPr="003772F4">
          <w:rPr>
            <w:b w:val="0"/>
            <w:webHidden/>
          </w:rPr>
        </w:r>
        <w:r w:rsidR="003772F4" w:rsidRPr="003772F4">
          <w:rPr>
            <w:b w:val="0"/>
            <w:webHidden/>
          </w:rPr>
          <w:fldChar w:fldCharType="separate"/>
        </w:r>
        <w:r w:rsidR="00F709AB">
          <w:rPr>
            <w:b w:val="0"/>
            <w:webHidden/>
          </w:rPr>
          <w:t>8</w:t>
        </w:r>
        <w:r w:rsidR="003772F4" w:rsidRPr="003772F4">
          <w:rPr>
            <w:b w:val="0"/>
            <w:webHidden/>
          </w:rPr>
          <w:fldChar w:fldCharType="end"/>
        </w:r>
      </w:hyperlink>
    </w:p>
    <w:p w14:paraId="3039B98F"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85" w:history="1">
        <w:r w:rsidR="003772F4" w:rsidRPr="003772F4">
          <w:rPr>
            <w:rStyle w:val="Hyperlink"/>
            <w:b w:val="0"/>
          </w:rPr>
          <w:t>Table 2 Regions in the sMDB analysed in this report</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_Toc505345885 \h </w:instrText>
        </w:r>
        <w:r w:rsidR="003772F4" w:rsidRPr="003772F4">
          <w:rPr>
            <w:b w:val="0"/>
            <w:webHidden/>
          </w:rPr>
        </w:r>
        <w:r w:rsidR="003772F4" w:rsidRPr="003772F4">
          <w:rPr>
            <w:b w:val="0"/>
            <w:webHidden/>
          </w:rPr>
          <w:fldChar w:fldCharType="separate"/>
        </w:r>
        <w:r w:rsidR="00F709AB">
          <w:rPr>
            <w:b w:val="0"/>
            <w:webHidden/>
          </w:rPr>
          <w:t>9</w:t>
        </w:r>
        <w:r w:rsidR="003772F4" w:rsidRPr="003772F4">
          <w:rPr>
            <w:b w:val="0"/>
            <w:webHidden/>
          </w:rPr>
          <w:fldChar w:fldCharType="end"/>
        </w:r>
      </w:hyperlink>
    </w:p>
    <w:p w14:paraId="31906E67"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86" w:history="1">
        <w:r w:rsidR="003772F4" w:rsidRPr="003772F4">
          <w:rPr>
            <w:rStyle w:val="Hyperlink"/>
            <w:b w:val="0"/>
          </w:rPr>
          <w:t>Table 3 Irrigation activities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_Toc505345886 \h </w:instrText>
        </w:r>
        <w:r w:rsidR="003772F4" w:rsidRPr="003772F4">
          <w:rPr>
            <w:b w:val="0"/>
            <w:webHidden/>
          </w:rPr>
        </w:r>
        <w:r w:rsidR="003772F4" w:rsidRPr="003772F4">
          <w:rPr>
            <w:b w:val="0"/>
            <w:webHidden/>
          </w:rPr>
          <w:fldChar w:fldCharType="separate"/>
        </w:r>
        <w:r w:rsidR="00F709AB">
          <w:rPr>
            <w:b w:val="0"/>
            <w:webHidden/>
          </w:rPr>
          <w:t>10</w:t>
        </w:r>
        <w:r w:rsidR="003772F4" w:rsidRPr="003772F4">
          <w:rPr>
            <w:b w:val="0"/>
            <w:webHidden/>
          </w:rPr>
          <w:fldChar w:fldCharType="end"/>
        </w:r>
      </w:hyperlink>
    </w:p>
    <w:p w14:paraId="0CE83BE3"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87" w:history="1">
        <w:r w:rsidR="003772F4" w:rsidRPr="003772F4">
          <w:rPr>
            <w:rStyle w:val="Hyperlink"/>
            <w:b w:val="0"/>
          </w:rPr>
          <w:t>Table 4 Trading zones, used for simulating inter-regional trade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_Toc505345887 \h </w:instrText>
        </w:r>
        <w:r w:rsidR="003772F4" w:rsidRPr="003772F4">
          <w:rPr>
            <w:b w:val="0"/>
            <w:webHidden/>
          </w:rPr>
        </w:r>
        <w:r w:rsidR="003772F4" w:rsidRPr="003772F4">
          <w:rPr>
            <w:b w:val="0"/>
            <w:webHidden/>
          </w:rPr>
          <w:fldChar w:fldCharType="separate"/>
        </w:r>
        <w:r w:rsidR="00F709AB">
          <w:rPr>
            <w:b w:val="0"/>
            <w:webHidden/>
          </w:rPr>
          <w:t>15</w:t>
        </w:r>
        <w:r w:rsidR="003772F4" w:rsidRPr="003772F4">
          <w:rPr>
            <w:b w:val="0"/>
            <w:webHidden/>
          </w:rPr>
          <w:fldChar w:fldCharType="end"/>
        </w:r>
      </w:hyperlink>
    </w:p>
    <w:p w14:paraId="444E3E78"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88" w:history="1">
        <w:r w:rsidR="003772F4" w:rsidRPr="003772F4">
          <w:rPr>
            <w:rStyle w:val="Hyperlink"/>
            <w:b w:val="0"/>
          </w:rPr>
          <w:t>Table 5 Annual trade constraints for trading zones in southern MDB (GL)</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_Toc505345888 \h </w:instrText>
        </w:r>
        <w:r w:rsidR="003772F4" w:rsidRPr="003772F4">
          <w:rPr>
            <w:b w:val="0"/>
            <w:webHidden/>
          </w:rPr>
        </w:r>
        <w:r w:rsidR="003772F4" w:rsidRPr="003772F4">
          <w:rPr>
            <w:b w:val="0"/>
            <w:webHidden/>
          </w:rPr>
          <w:fldChar w:fldCharType="separate"/>
        </w:r>
        <w:r w:rsidR="00F709AB">
          <w:rPr>
            <w:b w:val="0"/>
            <w:webHidden/>
          </w:rPr>
          <w:t>16</w:t>
        </w:r>
        <w:r w:rsidR="003772F4" w:rsidRPr="003772F4">
          <w:rPr>
            <w:b w:val="0"/>
            <w:webHidden/>
          </w:rPr>
          <w:fldChar w:fldCharType="end"/>
        </w:r>
      </w:hyperlink>
    </w:p>
    <w:p w14:paraId="08BF549E"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89" w:history="1">
        <w:r w:rsidR="003772F4" w:rsidRPr="003772F4">
          <w:rPr>
            <w:rStyle w:val="Hyperlink"/>
            <w:b w:val="0"/>
          </w:rPr>
          <w:t>Table 6 Regression results for land use by irrigation activity, NSW Murrumbidgee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_Toc505345889 \h </w:instrText>
        </w:r>
        <w:r w:rsidR="003772F4" w:rsidRPr="003772F4">
          <w:rPr>
            <w:b w:val="0"/>
            <w:webHidden/>
          </w:rPr>
        </w:r>
        <w:r w:rsidR="003772F4" w:rsidRPr="003772F4">
          <w:rPr>
            <w:b w:val="0"/>
            <w:webHidden/>
          </w:rPr>
          <w:fldChar w:fldCharType="separate"/>
        </w:r>
        <w:r w:rsidR="00F709AB">
          <w:rPr>
            <w:b w:val="0"/>
            <w:webHidden/>
          </w:rPr>
          <w:t>19</w:t>
        </w:r>
        <w:r w:rsidR="003772F4" w:rsidRPr="003772F4">
          <w:rPr>
            <w:b w:val="0"/>
            <w:webHidden/>
          </w:rPr>
          <w:fldChar w:fldCharType="end"/>
        </w:r>
      </w:hyperlink>
    </w:p>
    <w:p w14:paraId="2F1DEEC4"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0" w:history="1">
        <w:r w:rsidR="003772F4" w:rsidRPr="003772F4">
          <w:rPr>
            <w:rStyle w:val="Hyperlink"/>
            <w:b w:val="0"/>
          </w:rPr>
          <w:t>Table 7 Regression results for land use by irrigation activity, NSW Murray (above the Barmah Choke)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_Toc505345890 \h </w:instrText>
        </w:r>
        <w:r w:rsidR="003772F4" w:rsidRPr="003772F4">
          <w:rPr>
            <w:b w:val="0"/>
            <w:webHidden/>
          </w:rPr>
        </w:r>
        <w:r w:rsidR="003772F4" w:rsidRPr="003772F4">
          <w:rPr>
            <w:b w:val="0"/>
            <w:webHidden/>
          </w:rPr>
          <w:fldChar w:fldCharType="separate"/>
        </w:r>
        <w:r w:rsidR="00F709AB">
          <w:rPr>
            <w:b w:val="0"/>
            <w:webHidden/>
          </w:rPr>
          <w:t>19</w:t>
        </w:r>
        <w:r w:rsidR="003772F4" w:rsidRPr="003772F4">
          <w:rPr>
            <w:b w:val="0"/>
            <w:webHidden/>
          </w:rPr>
          <w:fldChar w:fldCharType="end"/>
        </w:r>
      </w:hyperlink>
    </w:p>
    <w:p w14:paraId="2A5DA5FA"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1" w:history="1">
        <w:r w:rsidR="003772F4" w:rsidRPr="003772F4">
          <w:rPr>
            <w:rStyle w:val="Hyperlink"/>
            <w:b w:val="0"/>
          </w:rPr>
          <w:t>Table 8 Regression results for land use by irrigation activity, NSW Murray (below the Barmah Choke)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_Toc505345891 \h </w:instrText>
        </w:r>
        <w:r w:rsidR="003772F4" w:rsidRPr="003772F4">
          <w:rPr>
            <w:b w:val="0"/>
            <w:webHidden/>
          </w:rPr>
        </w:r>
        <w:r w:rsidR="003772F4" w:rsidRPr="003772F4">
          <w:rPr>
            <w:b w:val="0"/>
            <w:webHidden/>
          </w:rPr>
          <w:fldChar w:fldCharType="separate"/>
        </w:r>
        <w:r w:rsidR="00F709AB">
          <w:rPr>
            <w:b w:val="0"/>
            <w:webHidden/>
          </w:rPr>
          <w:t>20</w:t>
        </w:r>
        <w:r w:rsidR="003772F4" w:rsidRPr="003772F4">
          <w:rPr>
            <w:b w:val="0"/>
            <w:webHidden/>
          </w:rPr>
          <w:fldChar w:fldCharType="end"/>
        </w:r>
      </w:hyperlink>
    </w:p>
    <w:p w14:paraId="65B53A50"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2" w:history="1">
        <w:r w:rsidR="003772F4" w:rsidRPr="003772F4">
          <w:rPr>
            <w:rStyle w:val="Hyperlink"/>
            <w:b w:val="0"/>
          </w:rPr>
          <w:t>Table 9 Regression results for land use by irrigation activity, VIC Murray (above the Barmah Choke)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_Toc505345892 \h </w:instrText>
        </w:r>
        <w:r w:rsidR="003772F4" w:rsidRPr="003772F4">
          <w:rPr>
            <w:b w:val="0"/>
            <w:webHidden/>
          </w:rPr>
        </w:r>
        <w:r w:rsidR="003772F4" w:rsidRPr="003772F4">
          <w:rPr>
            <w:b w:val="0"/>
            <w:webHidden/>
          </w:rPr>
          <w:fldChar w:fldCharType="separate"/>
        </w:r>
        <w:r w:rsidR="00F709AB">
          <w:rPr>
            <w:b w:val="0"/>
            <w:webHidden/>
          </w:rPr>
          <w:t>20</w:t>
        </w:r>
        <w:r w:rsidR="003772F4" w:rsidRPr="003772F4">
          <w:rPr>
            <w:b w:val="0"/>
            <w:webHidden/>
          </w:rPr>
          <w:fldChar w:fldCharType="end"/>
        </w:r>
      </w:hyperlink>
    </w:p>
    <w:p w14:paraId="748B0EBD"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3" w:history="1">
        <w:r w:rsidR="003772F4" w:rsidRPr="003772F4">
          <w:rPr>
            <w:rStyle w:val="Hyperlink"/>
            <w:b w:val="0"/>
          </w:rPr>
          <w:t>Table 10 Regression results for land use by irrigation activity, VIC Murray (below the Barmah Choke)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_Toc505345893 \h </w:instrText>
        </w:r>
        <w:r w:rsidR="003772F4" w:rsidRPr="003772F4">
          <w:rPr>
            <w:b w:val="0"/>
            <w:webHidden/>
          </w:rPr>
        </w:r>
        <w:r w:rsidR="003772F4" w:rsidRPr="003772F4">
          <w:rPr>
            <w:b w:val="0"/>
            <w:webHidden/>
          </w:rPr>
          <w:fldChar w:fldCharType="separate"/>
        </w:r>
        <w:r w:rsidR="00F709AB">
          <w:rPr>
            <w:b w:val="0"/>
            <w:webHidden/>
          </w:rPr>
          <w:t>21</w:t>
        </w:r>
        <w:r w:rsidR="003772F4" w:rsidRPr="003772F4">
          <w:rPr>
            <w:b w:val="0"/>
            <w:webHidden/>
          </w:rPr>
          <w:fldChar w:fldCharType="end"/>
        </w:r>
      </w:hyperlink>
    </w:p>
    <w:p w14:paraId="15C15648"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4" w:history="1">
        <w:r w:rsidR="003772F4" w:rsidRPr="003772F4">
          <w:rPr>
            <w:rStyle w:val="Hyperlink"/>
            <w:b w:val="0"/>
          </w:rPr>
          <w:t>Table 11 Regression results for land use by irrigation activity, VIC Goulburn-Broken</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_Toc505345894 \h </w:instrText>
        </w:r>
        <w:r w:rsidR="003772F4" w:rsidRPr="003772F4">
          <w:rPr>
            <w:b w:val="0"/>
            <w:webHidden/>
          </w:rPr>
        </w:r>
        <w:r w:rsidR="003772F4" w:rsidRPr="003772F4">
          <w:rPr>
            <w:b w:val="0"/>
            <w:webHidden/>
          </w:rPr>
          <w:fldChar w:fldCharType="separate"/>
        </w:r>
        <w:r w:rsidR="00F709AB">
          <w:rPr>
            <w:b w:val="0"/>
            <w:webHidden/>
          </w:rPr>
          <w:t>21</w:t>
        </w:r>
        <w:r w:rsidR="003772F4" w:rsidRPr="003772F4">
          <w:rPr>
            <w:b w:val="0"/>
            <w:webHidden/>
          </w:rPr>
          <w:fldChar w:fldCharType="end"/>
        </w:r>
      </w:hyperlink>
    </w:p>
    <w:p w14:paraId="3517D81B"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5" w:history="1">
        <w:r w:rsidR="003772F4" w:rsidRPr="003772F4">
          <w:rPr>
            <w:rStyle w:val="Hyperlink"/>
            <w:b w:val="0"/>
            <w:bCs/>
          </w:rPr>
          <w:t>Table 12 Regression results for land use by irrigation activity, VIC Loddon-Campaspe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_Toc505345895 \h </w:instrText>
        </w:r>
        <w:r w:rsidR="003772F4" w:rsidRPr="003772F4">
          <w:rPr>
            <w:b w:val="0"/>
            <w:webHidden/>
          </w:rPr>
        </w:r>
        <w:r w:rsidR="003772F4" w:rsidRPr="003772F4">
          <w:rPr>
            <w:b w:val="0"/>
            <w:webHidden/>
          </w:rPr>
          <w:fldChar w:fldCharType="separate"/>
        </w:r>
        <w:r w:rsidR="00F709AB">
          <w:rPr>
            <w:b w:val="0"/>
            <w:webHidden/>
          </w:rPr>
          <w:t>22</w:t>
        </w:r>
        <w:r w:rsidR="003772F4" w:rsidRPr="003772F4">
          <w:rPr>
            <w:b w:val="0"/>
            <w:webHidden/>
          </w:rPr>
          <w:fldChar w:fldCharType="end"/>
        </w:r>
      </w:hyperlink>
    </w:p>
    <w:p w14:paraId="6ECA5661"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6" w:history="1">
        <w:r w:rsidR="003772F4" w:rsidRPr="003772F4">
          <w:rPr>
            <w:rStyle w:val="Hyperlink"/>
            <w:b w:val="0"/>
          </w:rPr>
          <w:t>Table 13 Regression results for land use by irrigation activity, SA Murray</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_Toc505345896 \h </w:instrText>
        </w:r>
        <w:r w:rsidR="003772F4" w:rsidRPr="003772F4">
          <w:rPr>
            <w:b w:val="0"/>
            <w:webHidden/>
          </w:rPr>
        </w:r>
        <w:r w:rsidR="003772F4" w:rsidRPr="003772F4">
          <w:rPr>
            <w:b w:val="0"/>
            <w:webHidden/>
          </w:rPr>
          <w:fldChar w:fldCharType="separate"/>
        </w:r>
        <w:r w:rsidR="00F709AB">
          <w:rPr>
            <w:b w:val="0"/>
            <w:webHidden/>
          </w:rPr>
          <w:t>22</w:t>
        </w:r>
        <w:r w:rsidR="003772F4" w:rsidRPr="003772F4">
          <w:rPr>
            <w:b w:val="0"/>
            <w:webHidden/>
          </w:rPr>
          <w:fldChar w:fldCharType="end"/>
        </w:r>
      </w:hyperlink>
    </w:p>
    <w:p w14:paraId="6360A785"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7" w:history="1">
        <w:r w:rsidR="003772F4" w:rsidRPr="003772F4">
          <w:rPr>
            <w:rStyle w:val="Hyperlink"/>
            <w:b w:val="0"/>
          </w:rPr>
          <w:t>Table 14 Regressions results for water application rate by irrigation activity</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_Toc505345897 \h </w:instrText>
        </w:r>
        <w:r w:rsidR="003772F4" w:rsidRPr="003772F4">
          <w:rPr>
            <w:b w:val="0"/>
            <w:webHidden/>
          </w:rPr>
        </w:r>
        <w:r w:rsidR="003772F4" w:rsidRPr="003772F4">
          <w:rPr>
            <w:b w:val="0"/>
            <w:webHidden/>
          </w:rPr>
          <w:fldChar w:fldCharType="separate"/>
        </w:r>
        <w:r w:rsidR="00F709AB">
          <w:rPr>
            <w:b w:val="0"/>
            <w:webHidden/>
          </w:rPr>
          <w:t>24</w:t>
        </w:r>
        <w:r w:rsidR="003772F4" w:rsidRPr="003772F4">
          <w:rPr>
            <w:b w:val="0"/>
            <w:webHidden/>
          </w:rPr>
          <w:fldChar w:fldCharType="end"/>
        </w:r>
      </w:hyperlink>
    </w:p>
    <w:p w14:paraId="0E0782E5"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8" w:history="1">
        <w:r w:rsidR="003772F4" w:rsidRPr="003772F4">
          <w:rPr>
            <w:rStyle w:val="Hyperlink"/>
            <w:b w:val="0"/>
          </w:rPr>
          <w:t>Table 15 Regressions results for water allocation demand, NSW Lower Darling</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_Toc505345898 \h </w:instrText>
        </w:r>
        <w:r w:rsidR="003772F4" w:rsidRPr="003772F4">
          <w:rPr>
            <w:b w:val="0"/>
            <w:webHidden/>
          </w:rPr>
        </w:r>
        <w:r w:rsidR="003772F4" w:rsidRPr="003772F4">
          <w:rPr>
            <w:b w:val="0"/>
            <w:webHidden/>
          </w:rPr>
          <w:fldChar w:fldCharType="separate"/>
        </w:r>
        <w:r w:rsidR="00F709AB">
          <w:rPr>
            <w:b w:val="0"/>
            <w:webHidden/>
          </w:rPr>
          <w:t>26</w:t>
        </w:r>
        <w:r w:rsidR="003772F4" w:rsidRPr="003772F4">
          <w:rPr>
            <w:b w:val="0"/>
            <w:webHidden/>
          </w:rPr>
          <w:fldChar w:fldCharType="end"/>
        </w:r>
      </w:hyperlink>
    </w:p>
    <w:p w14:paraId="51353C0B"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899" w:history="1">
        <w:r w:rsidR="003772F4" w:rsidRPr="003772F4">
          <w:rPr>
            <w:rStyle w:val="Hyperlink"/>
            <w:b w:val="0"/>
          </w:rPr>
          <w:t>Table 16 Regressions results for other water use, by region</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_Toc505345899 \h </w:instrText>
        </w:r>
        <w:r w:rsidR="003772F4" w:rsidRPr="003772F4">
          <w:rPr>
            <w:b w:val="0"/>
            <w:webHidden/>
          </w:rPr>
        </w:r>
        <w:r w:rsidR="003772F4" w:rsidRPr="003772F4">
          <w:rPr>
            <w:b w:val="0"/>
            <w:webHidden/>
          </w:rPr>
          <w:fldChar w:fldCharType="separate"/>
        </w:r>
        <w:r w:rsidR="00F709AB">
          <w:rPr>
            <w:b w:val="0"/>
            <w:webHidden/>
          </w:rPr>
          <w:t>26</w:t>
        </w:r>
        <w:r w:rsidR="003772F4" w:rsidRPr="003772F4">
          <w:rPr>
            <w:b w:val="0"/>
            <w:webHidden/>
          </w:rPr>
          <w:fldChar w:fldCharType="end"/>
        </w:r>
      </w:hyperlink>
    </w:p>
    <w:p w14:paraId="024D5C53"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0" w:history="1">
        <w:r w:rsidR="003772F4" w:rsidRPr="003772F4">
          <w:rPr>
            <w:rStyle w:val="Hyperlink"/>
            <w:b w:val="0"/>
          </w:rPr>
          <w:t>Table 17 Actual and modelled entitlement prices, as at June 2016</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_Toc505345900 \h </w:instrText>
        </w:r>
        <w:r w:rsidR="003772F4" w:rsidRPr="003772F4">
          <w:rPr>
            <w:b w:val="0"/>
            <w:webHidden/>
          </w:rPr>
        </w:r>
        <w:r w:rsidR="003772F4" w:rsidRPr="003772F4">
          <w:rPr>
            <w:b w:val="0"/>
            <w:webHidden/>
          </w:rPr>
          <w:fldChar w:fldCharType="separate"/>
        </w:r>
        <w:r w:rsidR="00F709AB">
          <w:rPr>
            <w:b w:val="0"/>
            <w:webHidden/>
          </w:rPr>
          <w:t>31</w:t>
        </w:r>
        <w:r w:rsidR="003772F4" w:rsidRPr="003772F4">
          <w:rPr>
            <w:b w:val="0"/>
            <w:webHidden/>
          </w:rPr>
          <w:fldChar w:fldCharType="end"/>
        </w:r>
      </w:hyperlink>
    </w:p>
    <w:p w14:paraId="6CDB85F6"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1" w:history="1">
        <w:r w:rsidR="003772F4" w:rsidRPr="003772F4">
          <w:rPr>
            <w:rStyle w:val="Hyperlink"/>
            <w:b w:val="0"/>
          </w:rPr>
          <w:t>Table 18 Correlation between model estimates and actual data for key modelling outputs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_Toc505345901 \h </w:instrText>
        </w:r>
        <w:r w:rsidR="003772F4" w:rsidRPr="003772F4">
          <w:rPr>
            <w:b w:val="0"/>
            <w:webHidden/>
          </w:rPr>
        </w:r>
        <w:r w:rsidR="003772F4" w:rsidRPr="003772F4">
          <w:rPr>
            <w:b w:val="0"/>
            <w:webHidden/>
          </w:rPr>
          <w:fldChar w:fldCharType="separate"/>
        </w:r>
        <w:r w:rsidR="00F709AB">
          <w:rPr>
            <w:b w:val="0"/>
            <w:webHidden/>
          </w:rPr>
          <w:t>32</w:t>
        </w:r>
        <w:r w:rsidR="003772F4" w:rsidRPr="003772F4">
          <w:rPr>
            <w:b w:val="0"/>
            <w:webHidden/>
          </w:rPr>
          <w:fldChar w:fldCharType="end"/>
        </w:r>
      </w:hyperlink>
    </w:p>
    <w:p w14:paraId="3CAF15D9"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2" w:history="1">
        <w:r w:rsidR="003772F4" w:rsidRPr="003772F4">
          <w:rPr>
            <w:rStyle w:val="Hyperlink"/>
            <w:b w:val="0"/>
          </w:rPr>
          <w:t>Table A1 Data variables and sources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_Toc505345902 \h </w:instrText>
        </w:r>
        <w:r w:rsidR="003772F4" w:rsidRPr="003772F4">
          <w:rPr>
            <w:b w:val="0"/>
            <w:webHidden/>
          </w:rPr>
        </w:r>
        <w:r w:rsidR="003772F4" w:rsidRPr="003772F4">
          <w:rPr>
            <w:b w:val="0"/>
            <w:webHidden/>
          </w:rPr>
          <w:fldChar w:fldCharType="separate"/>
        </w:r>
        <w:r w:rsidR="00F709AB">
          <w:rPr>
            <w:b w:val="0"/>
            <w:webHidden/>
          </w:rPr>
          <w:t>38</w:t>
        </w:r>
        <w:r w:rsidR="003772F4" w:rsidRPr="003772F4">
          <w:rPr>
            <w:b w:val="0"/>
            <w:webHidden/>
          </w:rPr>
          <w:fldChar w:fldCharType="end"/>
        </w:r>
      </w:hyperlink>
    </w:p>
    <w:p w14:paraId="23E5EA65"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3" w:history="1">
        <w:r w:rsidR="003772F4" w:rsidRPr="003772F4">
          <w:rPr>
            <w:rStyle w:val="Hyperlink"/>
            <w:b w:val="0"/>
          </w:rPr>
          <w:t>Table A2 Proportion of entitlements on issue above and below the Barmah choke, by type</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_Toc505345903 \h </w:instrText>
        </w:r>
        <w:r w:rsidR="003772F4" w:rsidRPr="003772F4">
          <w:rPr>
            <w:b w:val="0"/>
            <w:webHidden/>
          </w:rPr>
        </w:r>
        <w:r w:rsidR="003772F4" w:rsidRPr="003772F4">
          <w:rPr>
            <w:b w:val="0"/>
            <w:webHidden/>
          </w:rPr>
          <w:fldChar w:fldCharType="separate"/>
        </w:r>
        <w:r w:rsidR="00F709AB">
          <w:rPr>
            <w:b w:val="0"/>
            <w:webHidden/>
          </w:rPr>
          <w:t>40</w:t>
        </w:r>
        <w:r w:rsidR="003772F4" w:rsidRPr="003772F4">
          <w:rPr>
            <w:b w:val="0"/>
            <w:webHidden/>
          </w:rPr>
          <w:fldChar w:fldCharType="end"/>
        </w:r>
      </w:hyperlink>
    </w:p>
    <w:p w14:paraId="465DDFE2"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4" w:history="1">
        <w:r w:rsidR="003772F4" w:rsidRPr="003772F4">
          <w:rPr>
            <w:rStyle w:val="Hyperlink"/>
            <w:b w:val="0"/>
          </w:rPr>
          <w:t>Table A3 ABARES industry labels and groupings for water trade model</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_Toc505345904 \h </w:instrText>
        </w:r>
        <w:r w:rsidR="003772F4" w:rsidRPr="003772F4">
          <w:rPr>
            <w:b w:val="0"/>
            <w:webHidden/>
          </w:rPr>
        </w:r>
        <w:r w:rsidR="003772F4" w:rsidRPr="003772F4">
          <w:rPr>
            <w:b w:val="0"/>
            <w:webHidden/>
          </w:rPr>
          <w:fldChar w:fldCharType="separate"/>
        </w:r>
        <w:r w:rsidR="00F709AB">
          <w:rPr>
            <w:b w:val="0"/>
            <w:webHidden/>
          </w:rPr>
          <w:t>41</w:t>
        </w:r>
        <w:r w:rsidR="003772F4" w:rsidRPr="003772F4">
          <w:rPr>
            <w:b w:val="0"/>
            <w:webHidden/>
          </w:rPr>
          <w:fldChar w:fldCharType="end"/>
        </w:r>
      </w:hyperlink>
    </w:p>
    <w:p w14:paraId="1A62CDFA"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5" w:history="1">
        <w:r w:rsidR="003772F4" w:rsidRPr="003772F4">
          <w:rPr>
            <w:rStyle w:val="Hyperlink"/>
            <w:b w:val="0"/>
          </w:rPr>
          <w:t>Table A4 ABS agricultural industry definitions and ABARES labels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_Toc505345905 \h </w:instrText>
        </w:r>
        <w:r w:rsidR="003772F4" w:rsidRPr="003772F4">
          <w:rPr>
            <w:b w:val="0"/>
            <w:webHidden/>
          </w:rPr>
        </w:r>
        <w:r w:rsidR="003772F4" w:rsidRPr="003772F4">
          <w:rPr>
            <w:b w:val="0"/>
            <w:webHidden/>
          </w:rPr>
          <w:fldChar w:fldCharType="separate"/>
        </w:r>
        <w:r w:rsidR="00F709AB">
          <w:rPr>
            <w:b w:val="0"/>
            <w:webHidden/>
          </w:rPr>
          <w:t>42</w:t>
        </w:r>
        <w:r w:rsidR="003772F4" w:rsidRPr="003772F4">
          <w:rPr>
            <w:b w:val="0"/>
            <w:webHidden/>
          </w:rPr>
          <w:fldChar w:fldCharType="end"/>
        </w:r>
      </w:hyperlink>
    </w:p>
    <w:p w14:paraId="5B84A05F"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6" w:history="1">
        <w:r w:rsidR="003772F4" w:rsidRPr="003772F4">
          <w:rPr>
            <w:rStyle w:val="Hyperlink"/>
            <w:b w:val="0"/>
          </w:rPr>
          <w:t>Table A5 Percentage of irrigated area in NRM regions contained within water trade model regions, 2012 NRM boundaries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_Toc505345906 \h </w:instrText>
        </w:r>
        <w:r w:rsidR="003772F4" w:rsidRPr="003772F4">
          <w:rPr>
            <w:b w:val="0"/>
            <w:webHidden/>
          </w:rPr>
        </w:r>
        <w:r w:rsidR="003772F4" w:rsidRPr="003772F4">
          <w:rPr>
            <w:b w:val="0"/>
            <w:webHidden/>
          </w:rPr>
          <w:fldChar w:fldCharType="separate"/>
        </w:r>
        <w:r w:rsidR="00F709AB">
          <w:rPr>
            <w:b w:val="0"/>
            <w:webHidden/>
          </w:rPr>
          <w:t>46</w:t>
        </w:r>
        <w:r w:rsidR="003772F4" w:rsidRPr="003772F4">
          <w:rPr>
            <w:b w:val="0"/>
            <w:webHidden/>
          </w:rPr>
          <w:fldChar w:fldCharType="end"/>
        </w:r>
      </w:hyperlink>
    </w:p>
    <w:p w14:paraId="0A095154" w14:textId="77777777" w:rsidR="003772F4" w:rsidRDefault="00220589">
      <w:pPr>
        <w:pStyle w:val="TableofFigures"/>
        <w:rPr>
          <w:rFonts w:asciiTheme="minorHAnsi" w:eastAsiaTheme="minorEastAsia" w:hAnsiTheme="minorHAnsi" w:cstheme="minorBidi"/>
          <w:b w:val="0"/>
          <w:color w:val="auto"/>
          <w:lang w:eastAsia="en-AU"/>
        </w:rPr>
      </w:pPr>
      <w:hyperlink w:anchor="_Toc505345907" w:history="1">
        <w:r w:rsidR="003772F4" w:rsidRPr="003772F4">
          <w:rPr>
            <w:rStyle w:val="Hyperlink"/>
            <w:b w:val="0"/>
          </w:rPr>
          <w:t>Table A6 ABARES commodity price sources and model activity groups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_Toc505345907 \h </w:instrText>
        </w:r>
        <w:r w:rsidR="003772F4" w:rsidRPr="003772F4">
          <w:rPr>
            <w:b w:val="0"/>
            <w:webHidden/>
          </w:rPr>
        </w:r>
        <w:r w:rsidR="003772F4" w:rsidRPr="003772F4">
          <w:rPr>
            <w:b w:val="0"/>
            <w:webHidden/>
          </w:rPr>
          <w:fldChar w:fldCharType="separate"/>
        </w:r>
        <w:r w:rsidR="00F709AB">
          <w:rPr>
            <w:b w:val="0"/>
            <w:webHidden/>
          </w:rPr>
          <w:t>48</w:t>
        </w:r>
        <w:r w:rsidR="003772F4" w:rsidRPr="003772F4">
          <w:rPr>
            <w:b w:val="0"/>
            <w:webHidden/>
          </w:rPr>
          <w:fldChar w:fldCharType="end"/>
        </w:r>
      </w:hyperlink>
    </w:p>
    <w:p w14:paraId="77FF3C11" w14:textId="77777777" w:rsidR="00DF61D7" w:rsidRDefault="00ED3AA7" w:rsidP="00823475">
      <w:pPr>
        <w:pStyle w:val="TableofFigures"/>
        <w:rPr>
          <w:b w:val="0"/>
        </w:rPr>
      </w:pPr>
      <w:r w:rsidRPr="003772F4">
        <w:rPr>
          <w:b w:val="0"/>
        </w:rPr>
        <w:fldChar w:fldCharType="end"/>
      </w:r>
    </w:p>
    <w:p w14:paraId="15B06006" w14:textId="77777777" w:rsidR="00DF61D7" w:rsidRDefault="00DF61D7">
      <w:pPr>
        <w:spacing w:after="0" w:line="240" w:lineRule="auto"/>
        <w:rPr>
          <w:noProof/>
        </w:rPr>
      </w:pPr>
      <w:r>
        <w:rPr>
          <w:b/>
        </w:rPr>
        <w:br w:type="page"/>
      </w:r>
    </w:p>
    <w:p w14:paraId="2A6085CC" w14:textId="77777777" w:rsidR="0045242F" w:rsidRPr="00E84094" w:rsidRDefault="0045242F" w:rsidP="00316924">
      <w:pPr>
        <w:pStyle w:val="TOCHeading"/>
        <w:spacing w:before="0"/>
      </w:pPr>
      <w:r>
        <w:lastRenderedPageBreak/>
        <w:t>Figures</w:t>
      </w:r>
    </w:p>
    <w:p w14:paraId="154326F2" w14:textId="77777777" w:rsidR="003772F4" w:rsidRPr="003772F4" w:rsidRDefault="0045242F">
      <w:pPr>
        <w:pStyle w:val="TableofFigures"/>
        <w:rPr>
          <w:rFonts w:asciiTheme="minorHAnsi" w:eastAsiaTheme="minorEastAsia" w:hAnsiTheme="minorHAnsi" w:cstheme="minorBidi"/>
          <w:b w:val="0"/>
          <w:color w:val="auto"/>
          <w:lang w:eastAsia="en-AU"/>
        </w:rPr>
      </w:pPr>
      <w:r w:rsidRPr="003772F4">
        <w:rPr>
          <w:b w:val="0"/>
          <w:bCs/>
        </w:rPr>
        <w:fldChar w:fldCharType="begin"/>
      </w:r>
      <w:r w:rsidRPr="003772F4">
        <w:rPr>
          <w:b w:val="0"/>
          <w:bCs/>
        </w:rPr>
        <w:instrText xml:space="preserve"> TOC </w:instrText>
      </w:r>
      <w:r w:rsidRPr="003772F4">
        <w:rPr>
          <w:b w:val="0"/>
        </w:rPr>
        <w:instrText>\h</w:instrText>
      </w:r>
      <w:r w:rsidRPr="003772F4">
        <w:rPr>
          <w:b w:val="0"/>
          <w:bCs/>
        </w:rPr>
        <w:instrText xml:space="preserve"> \z \c "Figure"</w:instrText>
      </w:r>
      <w:r w:rsidRPr="003772F4">
        <w:rPr>
          <w:b w:val="0"/>
          <w:bCs/>
        </w:rPr>
        <w:fldChar w:fldCharType="separate"/>
      </w:r>
      <w:hyperlink w:anchor="_Toc505345908" w:history="1">
        <w:r w:rsidR="003772F4" w:rsidRPr="003772F4">
          <w:rPr>
            <w:rStyle w:val="Hyperlink"/>
            <w:b w:val="0"/>
          </w:rPr>
          <w:t>Figure 1 Total water use, annual diversions and allocation water supply in the sMDB</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_Toc505345908 \h </w:instrText>
        </w:r>
        <w:r w:rsidR="003772F4" w:rsidRPr="003772F4">
          <w:rPr>
            <w:b w:val="0"/>
            <w:webHidden/>
          </w:rPr>
        </w:r>
        <w:r w:rsidR="003772F4" w:rsidRPr="003772F4">
          <w:rPr>
            <w:b w:val="0"/>
            <w:webHidden/>
          </w:rPr>
          <w:fldChar w:fldCharType="separate"/>
        </w:r>
        <w:r w:rsidR="00F709AB">
          <w:rPr>
            <w:b w:val="0"/>
            <w:webHidden/>
          </w:rPr>
          <w:t>11</w:t>
        </w:r>
        <w:r w:rsidR="003772F4" w:rsidRPr="003772F4">
          <w:rPr>
            <w:b w:val="0"/>
            <w:webHidden/>
          </w:rPr>
          <w:fldChar w:fldCharType="end"/>
        </w:r>
      </w:hyperlink>
    </w:p>
    <w:p w14:paraId="4C39D593"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09" w:history="1">
        <w:r w:rsidR="003772F4" w:rsidRPr="003772F4">
          <w:rPr>
            <w:rStyle w:val="Hyperlink"/>
            <w:b w:val="0"/>
          </w:rPr>
          <w:t>Figure 2 Modelling framework</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_Toc505345909 \h </w:instrText>
        </w:r>
        <w:r w:rsidR="003772F4" w:rsidRPr="003772F4">
          <w:rPr>
            <w:b w:val="0"/>
            <w:webHidden/>
          </w:rPr>
        </w:r>
        <w:r w:rsidR="003772F4" w:rsidRPr="003772F4">
          <w:rPr>
            <w:b w:val="0"/>
            <w:webHidden/>
          </w:rPr>
          <w:fldChar w:fldCharType="separate"/>
        </w:r>
        <w:r w:rsidR="00F709AB">
          <w:rPr>
            <w:b w:val="0"/>
            <w:webHidden/>
          </w:rPr>
          <w:t>13</w:t>
        </w:r>
        <w:r w:rsidR="003772F4" w:rsidRPr="003772F4">
          <w:rPr>
            <w:b w:val="0"/>
            <w:webHidden/>
          </w:rPr>
          <w:fldChar w:fldCharType="end"/>
        </w:r>
      </w:hyperlink>
    </w:p>
    <w:p w14:paraId="61C34310"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0" w:history="1">
        <w:r w:rsidR="003772F4" w:rsidRPr="003772F4">
          <w:rPr>
            <w:rStyle w:val="Hyperlink"/>
            <w:b w:val="0"/>
          </w:rPr>
          <w:t>Figure 4 Annual land use as a function of water allocation price, by irrigation activity</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_Toc505345910 \h </w:instrText>
        </w:r>
        <w:r w:rsidR="003772F4" w:rsidRPr="003772F4">
          <w:rPr>
            <w:b w:val="0"/>
            <w:webHidden/>
          </w:rPr>
        </w:r>
        <w:r w:rsidR="003772F4" w:rsidRPr="003772F4">
          <w:rPr>
            <w:b w:val="0"/>
            <w:webHidden/>
          </w:rPr>
          <w:fldChar w:fldCharType="separate"/>
        </w:r>
        <w:r w:rsidR="00F709AB">
          <w:rPr>
            <w:b w:val="0"/>
            <w:webHidden/>
          </w:rPr>
          <w:t>23</w:t>
        </w:r>
        <w:r w:rsidR="003772F4" w:rsidRPr="003772F4">
          <w:rPr>
            <w:b w:val="0"/>
            <w:webHidden/>
          </w:rPr>
          <w:fldChar w:fldCharType="end"/>
        </w:r>
      </w:hyperlink>
    </w:p>
    <w:p w14:paraId="1AF0B4C6"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1" w:history="1">
        <w:r w:rsidR="003772F4" w:rsidRPr="003772F4">
          <w:rPr>
            <w:rStyle w:val="Hyperlink"/>
            <w:b w:val="0"/>
          </w:rPr>
          <w:t>Figure 5 Total water use as a function of water allocation price, by irrigation activity</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_Toc505345911 \h </w:instrText>
        </w:r>
        <w:r w:rsidR="003772F4" w:rsidRPr="003772F4">
          <w:rPr>
            <w:b w:val="0"/>
            <w:webHidden/>
          </w:rPr>
        </w:r>
        <w:r w:rsidR="003772F4" w:rsidRPr="003772F4">
          <w:rPr>
            <w:b w:val="0"/>
            <w:webHidden/>
          </w:rPr>
          <w:fldChar w:fldCharType="separate"/>
        </w:r>
        <w:r w:rsidR="00F709AB">
          <w:rPr>
            <w:b w:val="0"/>
            <w:webHidden/>
          </w:rPr>
          <w:t>25</w:t>
        </w:r>
        <w:r w:rsidR="003772F4" w:rsidRPr="003772F4">
          <w:rPr>
            <w:b w:val="0"/>
            <w:webHidden/>
          </w:rPr>
          <w:fldChar w:fldCharType="end"/>
        </w:r>
      </w:hyperlink>
    </w:p>
    <w:p w14:paraId="1F53E25A"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2" w:history="1">
        <w:r w:rsidR="003772F4" w:rsidRPr="003772F4">
          <w:rPr>
            <w:rStyle w:val="Hyperlink"/>
            <w:b w:val="0"/>
          </w:rPr>
          <w:t>Figure 6 Total water use as a function of water allocation price, by region</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_Toc505345912 \h </w:instrText>
        </w:r>
        <w:r w:rsidR="003772F4" w:rsidRPr="003772F4">
          <w:rPr>
            <w:b w:val="0"/>
            <w:webHidden/>
          </w:rPr>
        </w:r>
        <w:r w:rsidR="003772F4" w:rsidRPr="003772F4">
          <w:rPr>
            <w:b w:val="0"/>
            <w:webHidden/>
          </w:rPr>
          <w:fldChar w:fldCharType="separate"/>
        </w:r>
        <w:r w:rsidR="00F709AB">
          <w:rPr>
            <w:b w:val="0"/>
            <w:webHidden/>
          </w:rPr>
          <w:t>25</w:t>
        </w:r>
        <w:r w:rsidR="003772F4" w:rsidRPr="003772F4">
          <w:rPr>
            <w:b w:val="0"/>
            <w:webHidden/>
          </w:rPr>
          <w:fldChar w:fldCharType="end"/>
        </w:r>
      </w:hyperlink>
    </w:p>
    <w:p w14:paraId="701F690A"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3" w:history="1">
        <w:r w:rsidR="003772F4" w:rsidRPr="003772F4">
          <w:rPr>
            <w:rStyle w:val="Hyperlink"/>
            <w:b w:val="0"/>
          </w:rPr>
          <w:t>Figure 7 Actual and modelled water allocation prices, by trading zone, 2002–03 to 2016–17</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_Toc505345913 \h </w:instrText>
        </w:r>
        <w:r w:rsidR="003772F4" w:rsidRPr="003772F4">
          <w:rPr>
            <w:b w:val="0"/>
            <w:webHidden/>
          </w:rPr>
        </w:r>
        <w:r w:rsidR="003772F4" w:rsidRPr="003772F4">
          <w:rPr>
            <w:b w:val="0"/>
            <w:webHidden/>
          </w:rPr>
          <w:fldChar w:fldCharType="separate"/>
        </w:r>
        <w:r w:rsidR="00F709AB">
          <w:rPr>
            <w:b w:val="0"/>
            <w:webHidden/>
          </w:rPr>
          <w:t>27</w:t>
        </w:r>
        <w:r w:rsidR="003772F4" w:rsidRPr="003772F4">
          <w:rPr>
            <w:b w:val="0"/>
            <w:webHidden/>
          </w:rPr>
          <w:fldChar w:fldCharType="end"/>
        </w:r>
      </w:hyperlink>
    </w:p>
    <w:p w14:paraId="000D9661"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4" w:history="1">
        <w:r w:rsidR="003772F4" w:rsidRPr="003772F4">
          <w:rPr>
            <w:rStyle w:val="Hyperlink"/>
            <w:b w:val="0"/>
          </w:rPr>
          <w:t>Figure 8 Actual and modelled net inter-zonal trade, by trading zone, 2002–03 to 2016–17</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_Toc505345914 \h </w:instrText>
        </w:r>
        <w:r w:rsidR="003772F4" w:rsidRPr="003772F4">
          <w:rPr>
            <w:b w:val="0"/>
            <w:webHidden/>
          </w:rPr>
        </w:r>
        <w:r w:rsidR="003772F4" w:rsidRPr="003772F4">
          <w:rPr>
            <w:b w:val="0"/>
            <w:webHidden/>
          </w:rPr>
          <w:fldChar w:fldCharType="separate"/>
        </w:r>
        <w:r w:rsidR="00F709AB">
          <w:rPr>
            <w:b w:val="0"/>
            <w:webHidden/>
          </w:rPr>
          <w:t>28</w:t>
        </w:r>
        <w:r w:rsidR="003772F4" w:rsidRPr="003772F4">
          <w:rPr>
            <w:b w:val="0"/>
            <w:webHidden/>
          </w:rPr>
          <w:fldChar w:fldCharType="end"/>
        </w:r>
      </w:hyperlink>
    </w:p>
    <w:p w14:paraId="244EB087"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5" w:history="1">
        <w:r w:rsidR="003772F4" w:rsidRPr="003772F4">
          <w:rPr>
            <w:rStyle w:val="Hyperlink"/>
            <w:b w:val="0"/>
          </w:rPr>
          <w:t>Figure 9 Actual and modelled total water use, by region, 2002–03 to 2016–17</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_Toc505345915 \h </w:instrText>
        </w:r>
        <w:r w:rsidR="003772F4" w:rsidRPr="003772F4">
          <w:rPr>
            <w:b w:val="0"/>
            <w:webHidden/>
          </w:rPr>
        </w:r>
        <w:r w:rsidR="003772F4" w:rsidRPr="003772F4">
          <w:rPr>
            <w:b w:val="0"/>
            <w:webHidden/>
          </w:rPr>
          <w:fldChar w:fldCharType="separate"/>
        </w:r>
        <w:r w:rsidR="00F709AB">
          <w:rPr>
            <w:b w:val="0"/>
            <w:webHidden/>
          </w:rPr>
          <w:t>29</w:t>
        </w:r>
        <w:r w:rsidR="003772F4" w:rsidRPr="003772F4">
          <w:rPr>
            <w:b w:val="0"/>
            <w:webHidden/>
          </w:rPr>
          <w:fldChar w:fldCharType="end"/>
        </w:r>
      </w:hyperlink>
    </w:p>
    <w:p w14:paraId="79D6E1BD"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6" w:history="1">
        <w:r w:rsidR="003772F4" w:rsidRPr="003772F4">
          <w:rPr>
            <w:rStyle w:val="Hyperlink"/>
            <w:b w:val="0"/>
          </w:rPr>
          <w:t>Figure 10 Actual and modelled total irrigated land use, by region, 2002–03 to 2016–17</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_Toc505345916 \h </w:instrText>
        </w:r>
        <w:r w:rsidR="003772F4" w:rsidRPr="003772F4">
          <w:rPr>
            <w:b w:val="0"/>
            <w:webHidden/>
          </w:rPr>
        </w:r>
        <w:r w:rsidR="003772F4" w:rsidRPr="003772F4">
          <w:rPr>
            <w:b w:val="0"/>
            <w:webHidden/>
          </w:rPr>
          <w:fldChar w:fldCharType="separate"/>
        </w:r>
        <w:r w:rsidR="00F709AB">
          <w:rPr>
            <w:b w:val="0"/>
            <w:webHidden/>
          </w:rPr>
          <w:t>30</w:t>
        </w:r>
        <w:r w:rsidR="003772F4" w:rsidRPr="003772F4">
          <w:rPr>
            <w:b w:val="0"/>
            <w:webHidden/>
          </w:rPr>
          <w:fldChar w:fldCharType="end"/>
        </w:r>
      </w:hyperlink>
    </w:p>
    <w:p w14:paraId="439F0E10" w14:textId="77777777" w:rsidR="003772F4" w:rsidRPr="003772F4" w:rsidRDefault="00220589">
      <w:pPr>
        <w:pStyle w:val="TableofFigures"/>
        <w:rPr>
          <w:rFonts w:asciiTheme="minorHAnsi" w:eastAsiaTheme="minorEastAsia" w:hAnsiTheme="minorHAnsi" w:cstheme="minorBidi"/>
          <w:b w:val="0"/>
          <w:color w:val="auto"/>
          <w:lang w:eastAsia="en-AU"/>
        </w:rPr>
      </w:pPr>
      <w:hyperlink w:anchor="_Toc505345917" w:history="1">
        <w:r w:rsidR="003772F4" w:rsidRPr="003772F4">
          <w:rPr>
            <w:rStyle w:val="Hyperlink"/>
            <w:b w:val="0"/>
          </w:rPr>
          <w:t>Figure 11 Modelled entitlement prices compared to actual prices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_Toc505345917 \h </w:instrText>
        </w:r>
        <w:r w:rsidR="003772F4" w:rsidRPr="003772F4">
          <w:rPr>
            <w:b w:val="0"/>
            <w:webHidden/>
          </w:rPr>
        </w:r>
        <w:r w:rsidR="003772F4" w:rsidRPr="003772F4">
          <w:rPr>
            <w:b w:val="0"/>
            <w:webHidden/>
          </w:rPr>
          <w:fldChar w:fldCharType="separate"/>
        </w:r>
        <w:r w:rsidR="00F709AB">
          <w:rPr>
            <w:b w:val="0"/>
            <w:webHidden/>
          </w:rPr>
          <w:t>31</w:t>
        </w:r>
        <w:r w:rsidR="003772F4" w:rsidRPr="003772F4">
          <w:rPr>
            <w:b w:val="0"/>
            <w:webHidden/>
          </w:rPr>
          <w:fldChar w:fldCharType="end"/>
        </w:r>
      </w:hyperlink>
    </w:p>
    <w:p w14:paraId="47EB6623" w14:textId="77777777" w:rsidR="003772F4" w:rsidRDefault="00220589">
      <w:pPr>
        <w:pStyle w:val="TableofFigures"/>
        <w:rPr>
          <w:rFonts w:asciiTheme="minorHAnsi" w:eastAsiaTheme="minorEastAsia" w:hAnsiTheme="minorHAnsi" w:cstheme="minorBidi"/>
          <w:b w:val="0"/>
          <w:color w:val="auto"/>
          <w:lang w:eastAsia="en-AU"/>
        </w:rPr>
      </w:pPr>
      <w:hyperlink w:anchor="_Toc505345918" w:history="1">
        <w:r w:rsidR="003772F4" w:rsidRPr="003772F4">
          <w:rPr>
            <w:rStyle w:val="Hyperlink"/>
            <w:b w:val="0"/>
          </w:rPr>
          <w:t>Figure A1 Average rainfall index across the sMDB, 2000–01 to 2015–16</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_Toc505345918 \h </w:instrText>
        </w:r>
        <w:r w:rsidR="003772F4" w:rsidRPr="003772F4">
          <w:rPr>
            <w:b w:val="0"/>
            <w:webHidden/>
          </w:rPr>
        </w:r>
        <w:r w:rsidR="003772F4" w:rsidRPr="003772F4">
          <w:rPr>
            <w:b w:val="0"/>
            <w:webHidden/>
          </w:rPr>
          <w:fldChar w:fldCharType="separate"/>
        </w:r>
        <w:r w:rsidR="00F709AB">
          <w:rPr>
            <w:b w:val="0"/>
            <w:webHidden/>
          </w:rPr>
          <w:t>39</w:t>
        </w:r>
        <w:r w:rsidR="003772F4" w:rsidRPr="003772F4">
          <w:rPr>
            <w:b w:val="0"/>
            <w:webHidden/>
          </w:rPr>
          <w:fldChar w:fldCharType="end"/>
        </w:r>
      </w:hyperlink>
    </w:p>
    <w:p w14:paraId="61327218" w14:textId="77777777" w:rsidR="0045242F" w:rsidRDefault="0045242F" w:rsidP="00823475">
      <w:pPr>
        <w:pStyle w:val="TableofFigures"/>
      </w:pPr>
      <w:r w:rsidRPr="003772F4">
        <w:rPr>
          <w:b w:val="0"/>
        </w:rPr>
        <w:fldChar w:fldCharType="end"/>
      </w:r>
    </w:p>
    <w:p w14:paraId="674FFA14" w14:textId="77777777" w:rsidR="0045242F" w:rsidRDefault="0045242F" w:rsidP="00316924">
      <w:pPr>
        <w:pStyle w:val="TOCHeading"/>
        <w:spacing w:before="0"/>
      </w:pPr>
      <w:r>
        <w:t>Maps</w:t>
      </w:r>
    </w:p>
    <w:p w14:paraId="3F3DE5E4" w14:textId="77777777" w:rsidR="003772F4" w:rsidRPr="003772F4" w:rsidRDefault="0045242F">
      <w:pPr>
        <w:pStyle w:val="TableofFigures"/>
        <w:rPr>
          <w:rFonts w:asciiTheme="minorHAnsi" w:eastAsiaTheme="minorEastAsia" w:hAnsiTheme="minorHAnsi" w:cstheme="minorBidi"/>
          <w:b w:val="0"/>
          <w:color w:val="auto"/>
          <w:lang w:eastAsia="en-AU"/>
        </w:rPr>
      </w:pPr>
      <w:r w:rsidRPr="003772F4">
        <w:rPr>
          <w:b w:val="0"/>
          <w:bCs/>
        </w:rPr>
        <w:fldChar w:fldCharType="begin"/>
      </w:r>
      <w:r w:rsidRPr="003772F4">
        <w:rPr>
          <w:b w:val="0"/>
          <w:bCs/>
        </w:rPr>
        <w:instrText xml:space="preserve"> TOC </w:instrText>
      </w:r>
      <w:r w:rsidRPr="003772F4">
        <w:rPr>
          <w:b w:val="0"/>
        </w:rPr>
        <w:instrText>\h</w:instrText>
      </w:r>
      <w:r w:rsidRPr="003772F4">
        <w:rPr>
          <w:b w:val="0"/>
          <w:bCs/>
        </w:rPr>
        <w:instrText xml:space="preserve"> \z \c "Map"</w:instrText>
      </w:r>
      <w:r w:rsidRPr="003772F4">
        <w:rPr>
          <w:b w:val="0"/>
          <w:bCs/>
        </w:rPr>
        <w:fldChar w:fldCharType="separate"/>
      </w:r>
      <w:hyperlink w:anchor="_Toc505345919" w:history="1">
        <w:r w:rsidR="003772F4" w:rsidRPr="003772F4">
          <w:rPr>
            <w:rStyle w:val="Hyperlink"/>
            <w:b w:val="0"/>
          </w:rPr>
          <w:t>Map 1 Southern Murray-Darling Basin water systems and major storages</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_Toc505345919 \h </w:instrText>
        </w:r>
        <w:r w:rsidR="003772F4" w:rsidRPr="003772F4">
          <w:rPr>
            <w:b w:val="0"/>
            <w:webHidden/>
          </w:rPr>
        </w:r>
        <w:r w:rsidR="003772F4" w:rsidRPr="003772F4">
          <w:rPr>
            <w:b w:val="0"/>
            <w:webHidden/>
          </w:rPr>
          <w:fldChar w:fldCharType="separate"/>
        </w:r>
        <w:r w:rsidR="00F709AB">
          <w:rPr>
            <w:b w:val="0"/>
            <w:webHidden/>
          </w:rPr>
          <w:t>9</w:t>
        </w:r>
        <w:r w:rsidR="003772F4" w:rsidRPr="003772F4">
          <w:rPr>
            <w:b w:val="0"/>
            <w:webHidden/>
          </w:rPr>
          <w:fldChar w:fldCharType="end"/>
        </w:r>
      </w:hyperlink>
    </w:p>
    <w:p w14:paraId="44A935AB" w14:textId="77777777" w:rsidR="003772F4" w:rsidRDefault="00220589">
      <w:pPr>
        <w:pStyle w:val="TableofFigures"/>
        <w:rPr>
          <w:rFonts w:asciiTheme="minorHAnsi" w:eastAsiaTheme="minorEastAsia" w:hAnsiTheme="minorHAnsi" w:cstheme="minorBidi"/>
          <w:b w:val="0"/>
          <w:color w:val="auto"/>
          <w:lang w:eastAsia="en-AU"/>
        </w:rPr>
      </w:pPr>
      <w:hyperlink w:anchor="_Toc505345920" w:history="1">
        <w:r w:rsidR="003772F4" w:rsidRPr="003772F4">
          <w:rPr>
            <w:rStyle w:val="Hyperlink"/>
            <w:b w:val="0"/>
          </w:rPr>
          <w:t>Map A1 Rainfall, irrigated areas and water regions, 2015–16</w:t>
        </w:r>
        <w:r w:rsidR="003772F4" w:rsidRPr="003772F4">
          <w:rPr>
            <w:b w:val="0"/>
            <w:webHidden/>
          </w:rPr>
          <w:tab/>
        </w:r>
        <w:r w:rsidR="003772F4" w:rsidRPr="003772F4">
          <w:rPr>
            <w:b w:val="0"/>
            <w:webHidden/>
          </w:rPr>
          <w:fldChar w:fldCharType="begin"/>
        </w:r>
        <w:r w:rsidR="003772F4" w:rsidRPr="003772F4">
          <w:rPr>
            <w:b w:val="0"/>
            <w:webHidden/>
          </w:rPr>
          <w:instrText xml:space="preserve"> PAGEREF _Toc505345920 \h </w:instrText>
        </w:r>
        <w:r w:rsidR="003772F4" w:rsidRPr="003772F4">
          <w:rPr>
            <w:b w:val="0"/>
            <w:webHidden/>
          </w:rPr>
        </w:r>
        <w:r w:rsidR="003772F4" w:rsidRPr="003772F4">
          <w:rPr>
            <w:b w:val="0"/>
            <w:webHidden/>
          </w:rPr>
          <w:fldChar w:fldCharType="separate"/>
        </w:r>
        <w:r w:rsidR="00F709AB">
          <w:rPr>
            <w:b w:val="0"/>
            <w:webHidden/>
          </w:rPr>
          <w:t>39</w:t>
        </w:r>
        <w:r w:rsidR="003772F4" w:rsidRPr="003772F4">
          <w:rPr>
            <w:b w:val="0"/>
            <w:webHidden/>
          </w:rPr>
          <w:fldChar w:fldCharType="end"/>
        </w:r>
      </w:hyperlink>
    </w:p>
    <w:p w14:paraId="505CB249" w14:textId="77777777" w:rsidR="0045242F" w:rsidRPr="0045242F" w:rsidRDefault="0045242F" w:rsidP="0045242F">
      <w:pPr>
        <w:rPr>
          <w:lang w:val="en-US" w:eastAsia="ja-JP"/>
        </w:rPr>
      </w:pPr>
      <w:r w:rsidRPr="003772F4">
        <w:rPr>
          <w:bCs/>
        </w:rPr>
        <w:fldChar w:fldCharType="end"/>
      </w:r>
    </w:p>
    <w:p w14:paraId="7F29C659" w14:textId="77777777" w:rsidR="00F75907" w:rsidRDefault="00F75907">
      <w:pPr>
        <w:spacing w:after="0" w:line="240" w:lineRule="auto"/>
        <w:rPr>
          <w:rFonts w:asciiTheme="minorHAnsi" w:hAnsiTheme="minorHAnsi"/>
          <w:sz w:val="56"/>
        </w:rPr>
      </w:pPr>
      <w:r>
        <w:br w:type="page"/>
      </w:r>
    </w:p>
    <w:p w14:paraId="235EC478" w14:textId="23D0B54B" w:rsidR="00F75907" w:rsidRDefault="00F75907" w:rsidP="00F75907">
      <w:pPr>
        <w:pStyle w:val="Heading1unnumberedchapter"/>
      </w:pPr>
      <w:bookmarkStart w:id="3" w:name="_Toc505345849"/>
      <w:r>
        <w:lastRenderedPageBreak/>
        <w:t>About</w:t>
      </w:r>
      <w:bookmarkEnd w:id="3"/>
    </w:p>
    <w:p w14:paraId="0D7CBF96" w14:textId="77777777" w:rsidR="00922005" w:rsidRPr="00922005" w:rsidRDefault="00922005" w:rsidP="00922005">
      <w:pPr>
        <w:pStyle w:val="PlainText"/>
        <w:rPr>
          <w:rFonts w:ascii="Cambria" w:eastAsia="Calibri" w:hAnsi="Cambria" w:cs="Times New Roman"/>
          <w:color w:val="000000" w:themeColor="text1"/>
          <w:szCs w:val="22"/>
        </w:rPr>
      </w:pPr>
      <w:r w:rsidRPr="00922005">
        <w:rPr>
          <w:rFonts w:ascii="Cambria" w:eastAsia="Calibri" w:hAnsi="Cambria" w:cs="Times New Roman"/>
          <w:color w:val="000000" w:themeColor="text1"/>
          <w:szCs w:val="22"/>
        </w:rPr>
        <w:t>This paper was prepared for the 2018 Australasian Agricultural &amp; Resource Economics Society (AARES) Conference. The paper presents a new economic model of water trade and irrigation activity within the southern Murray-Darling Basin (sMDB),  developed by ABARES on behalf of the Department of Agriculture and Water Resources.  This model extends a similar model previously developed by ABARES (see Hughes et al. 2016). The model remains under ongoing development, a number of planned improvements to the model are documented in the paper.</w:t>
      </w:r>
    </w:p>
    <w:p w14:paraId="05CE8CDA" w14:textId="77777777" w:rsidR="00922005" w:rsidRPr="00922005" w:rsidRDefault="00922005" w:rsidP="00922005">
      <w:pPr>
        <w:pStyle w:val="PlainText"/>
        <w:rPr>
          <w:rFonts w:ascii="Cambria" w:eastAsia="Calibri" w:hAnsi="Cambria" w:cs="Times New Roman"/>
          <w:color w:val="000000" w:themeColor="text1"/>
          <w:szCs w:val="22"/>
        </w:rPr>
      </w:pPr>
    </w:p>
    <w:p w14:paraId="5FFE32E0" w14:textId="77777777" w:rsidR="00922005" w:rsidRPr="00922005" w:rsidRDefault="00922005" w:rsidP="00922005">
      <w:pPr>
        <w:pStyle w:val="PlainText"/>
        <w:rPr>
          <w:rFonts w:ascii="Cambria" w:eastAsia="Calibri" w:hAnsi="Cambria" w:cs="Times New Roman"/>
          <w:color w:val="000000" w:themeColor="text1"/>
          <w:szCs w:val="22"/>
        </w:rPr>
      </w:pPr>
      <w:r w:rsidRPr="00922005">
        <w:rPr>
          <w:rFonts w:ascii="Cambria" w:eastAsia="Calibri" w:hAnsi="Cambria" w:cs="Times New Roman"/>
          <w:color w:val="000000" w:themeColor="text1"/>
          <w:szCs w:val="22"/>
        </w:rPr>
        <w:t>This report remains technical in nature and documents the model data sources and assumptions.  The only results presented in this paper are provided for the purposes of validating the models performance. The model has a range of potential future applications, such as assessing the effects on sMDB water markets and irrigation industries of: water policy reforms, water trading rules, changes in water availability or changes in perennial plantings.</w:t>
      </w:r>
    </w:p>
    <w:p w14:paraId="46096696" w14:textId="77777777" w:rsidR="00F75907" w:rsidRDefault="00F75907">
      <w:pPr>
        <w:spacing w:after="0" w:line="240" w:lineRule="auto"/>
        <w:rPr>
          <w:rFonts w:asciiTheme="minorHAnsi" w:hAnsiTheme="minorHAnsi"/>
          <w:sz w:val="56"/>
        </w:rPr>
      </w:pPr>
    </w:p>
    <w:p w14:paraId="0F3076E9" w14:textId="00AB4882" w:rsidR="00587A38" w:rsidRDefault="00587A38" w:rsidP="00587A38">
      <w:pPr>
        <w:pStyle w:val="Heading1unnumberedchapter"/>
      </w:pPr>
      <w:bookmarkStart w:id="4" w:name="_Toc505345850"/>
      <w:r>
        <w:lastRenderedPageBreak/>
        <w:t>Abstract</w:t>
      </w:r>
      <w:bookmarkEnd w:id="4"/>
    </w:p>
    <w:p w14:paraId="514E7AB2" w14:textId="0F0EA07E" w:rsidR="00587A38" w:rsidRPr="00587A38" w:rsidRDefault="00587A38" w:rsidP="00587A38">
      <w:pPr>
        <w:pStyle w:val="BodyText1"/>
      </w:pPr>
      <w:r w:rsidRPr="00587A38">
        <w:t>This paper presents a new econometric partial equilibrium model of water trade and irrigation activity within the southern Murray-Darling Basin (sMDB)</w:t>
      </w:r>
      <w:r>
        <w:t>. The</w:t>
      </w:r>
      <w:r w:rsidRPr="00587A38">
        <w:t xml:space="preserve"> model exploits a unique data set detailing water availability, water market outcomes, irrigation activity, climate conditions and commodity prices for the sMDB annually over the period 2002</w:t>
      </w:r>
      <w:r>
        <w:t>–03 to 201</w:t>
      </w:r>
      <w:r w:rsidR="00413275">
        <w:t>6</w:t>
      </w:r>
      <w:r>
        <w:t>–</w:t>
      </w:r>
      <w:r w:rsidR="00413275">
        <w:t>17</w:t>
      </w:r>
      <w:r w:rsidRPr="00587A38">
        <w:t xml:space="preserve">. This data is used to econometrically estimate a set of demand functions for water by region and irrigation activity. These demand functions are placed within a spatial equilibrium framework </w:t>
      </w:r>
      <w:r w:rsidR="00016195">
        <w:t>taking</w:t>
      </w:r>
      <w:r w:rsidRPr="00587A38">
        <w:t xml:space="preserve"> into account </w:t>
      </w:r>
      <w:r w:rsidR="00016195">
        <w:t>constraints</w:t>
      </w:r>
      <w:r w:rsidRPr="00587A38">
        <w:t xml:space="preserve"> on inter</w:t>
      </w:r>
      <w:r w:rsidR="00016195">
        <w:t>-</w:t>
      </w:r>
      <w:r w:rsidRPr="00587A38">
        <w:t xml:space="preserve">regional water trade across the basin. The model is able </w:t>
      </w:r>
      <w:r w:rsidRPr="0026472E">
        <w:t xml:space="preserve">to simulate the market prices of water allocations and entitlements by region and inter-regional water trade flows along with water and land use by irrigation activity and region. The performance of the model is demonstrated </w:t>
      </w:r>
      <w:r w:rsidR="00016195" w:rsidRPr="0026472E">
        <w:t xml:space="preserve">with </w:t>
      </w:r>
      <w:r w:rsidRPr="0026472E">
        <w:t>in and out-of-sample validation</w:t>
      </w:r>
      <w:r w:rsidR="00B525D8" w:rsidRPr="0026472E">
        <w:t xml:space="preserve"> tests</w:t>
      </w:r>
      <w:r w:rsidRPr="0026472E">
        <w:t>. The model provides a basis for separating the effects of historical climate, market and policy shocks on the region and for simulating the effects of potential future shocks.</w:t>
      </w:r>
      <w:r w:rsidR="00016195">
        <w:t xml:space="preserve"> </w:t>
      </w:r>
    </w:p>
    <w:p w14:paraId="4AC5E564" w14:textId="77777777" w:rsidR="00173E15" w:rsidRDefault="0088506A">
      <w:pPr>
        <w:pStyle w:val="Heading1"/>
      </w:pPr>
      <w:bookmarkStart w:id="5" w:name="_Toc505345851"/>
      <w:r>
        <w:lastRenderedPageBreak/>
        <w:t>Introduction</w:t>
      </w:r>
      <w:bookmarkEnd w:id="5"/>
      <w:bookmarkEnd w:id="2"/>
    </w:p>
    <w:p w14:paraId="24FE084B" w14:textId="77777777" w:rsidR="005E365B" w:rsidRPr="005E365B" w:rsidRDefault="005E365B" w:rsidP="0018270F">
      <w:pPr>
        <w:pStyle w:val="BodyText1"/>
      </w:pPr>
      <w:r w:rsidRPr="005E365B">
        <w:t xml:space="preserve">The irrigation industry of the southern Murray–Darling Basin (sMDB) has been subject to a wide range of climate, market and policy changes over the last two decades. </w:t>
      </w:r>
    </w:p>
    <w:p w14:paraId="4090EC5A" w14:textId="2388F1CB" w:rsidR="005E365B" w:rsidRPr="005E365B" w:rsidRDefault="005E365B" w:rsidP="0018270F">
      <w:pPr>
        <w:pStyle w:val="BodyText1"/>
      </w:pPr>
      <w:r w:rsidRPr="005E365B">
        <w:t xml:space="preserve">Firstly, there have been dramatic variations in water availability including the ‘Millennium drought’ and subsequent floods, along with a longer-term trend toward reduced winter rainfall in the region related to climate change (CSIRO 2012). In addition, changes in commodity prices have placed adjustment pressure on the industry, leading </w:t>
      </w:r>
      <w:r w:rsidR="00CB62FC">
        <w:t>t</w:t>
      </w:r>
      <w:r w:rsidRPr="005E365B">
        <w:t xml:space="preserve">o </w:t>
      </w:r>
      <w:r w:rsidR="00CB62FC">
        <w:t xml:space="preserve">a </w:t>
      </w:r>
      <w:r w:rsidRPr="005E365B">
        <w:t>contraction in wine grape planti</w:t>
      </w:r>
      <w:r w:rsidR="0048555E">
        <w:t>ngs and</w:t>
      </w:r>
      <w:r w:rsidRPr="005E365B">
        <w:t xml:space="preserve"> recent expansion</w:t>
      </w:r>
      <w:r w:rsidR="0048555E">
        <w:t>s</w:t>
      </w:r>
      <w:r w:rsidRPr="005E365B">
        <w:t xml:space="preserve"> in almonds</w:t>
      </w:r>
      <w:r w:rsidR="00CB62FC">
        <w:t xml:space="preserve"> and cotton</w:t>
      </w:r>
      <w:r w:rsidRPr="005E365B">
        <w:t xml:space="preserve">. At the same time, there have been a number of </w:t>
      </w:r>
      <w:r w:rsidR="00C84490">
        <w:t xml:space="preserve">new </w:t>
      </w:r>
      <w:r w:rsidRPr="005E365B">
        <w:t xml:space="preserve">government policies, including the Water Act 2007 and Murray–Darling Basin Plan, focused on reallocating water from irrigation to environmental uses. </w:t>
      </w:r>
    </w:p>
    <w:p w14:paraId="12C82100" w14:textId="0B3601C1" w:rsidR="005E365B" w:rsidRPr="005E365B" w:rsidRDefault="005E365B" w:rsidP="0018270F">
      <w:pPr>
        <w:pStyle w:val="BodyText1"/>
      </w:pPr>
      <w:r w:rsidRPr="005E365B">
        <w:t xml:space="preserve">The other major development during this period has been the continued growth and evolution of water markets. The sMDB water allocation market is now widely regarded as one of the most advanced of its kind in the world </w:t>
      </w:r>
      <w:r w:rsidR="00C84490">
        <w:t xml:space="preserve">particularly </w:t>
      </w:r>
      <w:r w:rsidR="00841DBB">
        <w:t>given</w:t>
      </w:r>
      <w:r w:rsidR="00841DBB" w:rsidRPr="005E365B">
        <w:t xml:space="preserve"> </w:t>
      </w:r>
      <w:r w:rsidRPr="005E365B">
        <w:t xml:space="preserve">its </w:t>
      </w:r>
      <w:r w:rsidR="00841DBB">
        <w:t>ability</w:t>
      </w:r>
      <w:r w:rsidR="00841DBB" w:rsidRPr="005E365B">
        <w:t xml:space="preserve"> </w:t>
      </w:r>
      <w:r w:rsidRPr="005E365B">
        <w:t xml:space="preserve">to facilitate large volumes of trade between </w:t>
      </w:r>
      <w:r w:rsidR="00841DBB">
        <w:t>water users</w:t>
      </w:r>
      <w:r w:rsidRPr="005E365B">
        <w:t xml:space="preserve"> in different river catchments.</w:t>
      </w:r>
      <w:r w:rsidR="00644148">
        <w:t xml:space="preserve"> </w:t>
      </w:r>
    </w:p>
    <w:p w14:paraId="22A6AA7C" w14:textId="17084D9D" w:rsidR="005E365B" w:rsidRPr="005E365B" w:rsidRDefault="005E365B" w:rsidP="0018270F">
      <w:pPr>
        <w:pStyle w:val="BodyText1"/>
      </w:pPr>
      <w:r w:rsidRPr="005E365B">
        <w:t xml:space="preserve">Understandably, there remains strong interest from policy makers in models </w:t>
      </w:r>
      <w:r w:rsidR="00C84490">
        <w:t xml:space="preserve">and other tools for analysing </w:t>
      </w:r>
      <w:r w:rsidRPr="005E365B">
        <w:t xml:space="preserve">water </w:t>
      </w:r>
      <w:r w:rsidR="0048555E">
        <w:t xml:space="preserve">trade </w:t>
      </w:r>
      <w:r w:rsidRPr="005E365B">
        <w:t xml:space="preserve">and irrigation </w:t>
      </w:r>
      <w:r w:rsidR="0048555E">
        <w:t xml:space="preserve">activity </w:t>
      </w:r>
      <w:r w:rsidRPr="005E365B">
        <w:t xml:space="preserve">in the sMDB, </w:t>
      </w:r>
      <w:r w:rsidR="00C84490">
        <w:t xml:space="preserve">with </w:t>
      </w:r>
      <w:r w:rsidR="00841DBB">
        <w:t xml:space="preserve">the </w:t>
      </w:r>
      <w:r w:rsidR="00C84490">
        <w:t>capacity to</w:t>
      </w:r>
      <w:r w:rsidRPr="005E365B">
        <w:t xml:space="preserve"> separate the effects of different historical climate, market and policy shocks</w:t>
      </w:r>
      <w:r w:rsidR="00C84490">
        <w:t>,</w:t>
      </w:r>
      <w:r w:rsidRPr="005E365B">
        <w:t xml:space="preserve"> and </w:t>
      </w:r>
      <w:r w:rsidR="00C84490">
        <w:t xml:space="preserve">to </w:t>
      </w:r>
      <w:r w:rsidRPr="005E365B">
        <w:t xml:space="preserve">simulate the effects of potential future shocks. </w:t>
      </w:r>
    </w:p>
    <w:p w14:paraId="6EE71456" w14:textId="3341EA3A" w:rsidR="00D44F46" w:rsidRDefault="00C84490" w:rsidP="0018270F">
      <w:pPr>
        <w:pStyle w:val="BodyText1"/>
      </w:pPr>
      <w:r>
        <w:t>This paper</w:t>
      </w:r>
      <w:r w:rsidR="005E365B" w:rsidRPr="005E365B">
        <w:t xml:space="preserve"> </w:t>
      </w:r>
      <w:r>
        <w:t>presents</w:t>
      </w:r>
      <w:r w:rsidR="005E365B" w:rsidRPr="005E365B">
        <w:t xml:space="preserve"> a new econometric partial equilibrium model of water trade and irrigation activity is presented. </w:t>
      </w:r>
      <w:r w:rsidR="00D44F46">
        <w:t>This model attempts to reconcile two</w:t>
      </w:r>
      <w:r w:rsidR="00681882">
        <w:t xml:space="preserve"> alternative approaches applied in the </w:t>
      </w:r>
      <w:r w:rsidR="00D44F46">
        <w:t xml:space="preserve">literature: </w:t>
      </w:r>
      <w:r w:rsidR="00681882">
        <w:t xml:space="preserve">reduced form econometric </w:t>
      </w:r>
      <w:r w:rsidR="00D44F46">
        <w:t xml:space="preserve">estimation of </w:t>
      </w:r>
      <w:r w:rsidR="00681882">
        <w:t xml:space="preserve">water demand </w:t>
      </w:r>
      <w:r w:rsidR="00D44F46">
        <w:t>using historical market price data (</w:t>
      </w:r>
      <w:r w:rsidR="00C67DD0">
        <w:t xml:space="preserve">see </w:t>
      </w:r>
      <w:r w:rsidR="006F3E28" w:rsidRPr="006F3E28">
        <w:t>Brennan 2006, Bjornlund and Rossini 2005 and Wheeler et al. 2008</w:t>
      </w:r>
      <w:r w:rsidR="00D44F46">
        <w:t xml:space="preserve">) and </w:t>
      </w:r>
      <w:r w:rsidR="00681882">
        <w:t xml:space="preserve">‘bottom-up’ construction of water demand through structural bio-economic </w:t>
      </w:r>
      <w:r w:rsidR="00F777A0">
        <w:t xml:space="preserve">optimisation </w:t>
      </w:r>
      <w:r w:rsidR="00681882">
        <w:t>models (</w:t>
      </w:r>
      <w:r w:rsidR="006F3E28">
        <w:t xml:space="preserve">see </w:t>
      </w:r>
      <w:r w:rsidR="006F3E28" w:rsidRPr="006F3E28">
        <w:t>Apples, Douglas and Dwyer (2004) or Qureshi, Ranjan and Qureshi (2010) for a review</w:t>
      </w:r>
      <w:r w:rsidR="00681882">
        <w:t>).</w:t>
      </w:r>
    </w:p>
    <w:p w14:paraId="256B0AA7" w14:textId="51249CE6" w:rsidR="005E365B" w:rsidRPr="005E365B" w:rsidRDefault="00D44F46" w:rsidP="0018270F">
      <w:pPr>
        <w:pStyle w:val="BodyText1"/>
      </w:pPr>
      <w:r>
        <w:t>Similar to</w:t>
      </w:r>
      <w:r w:rsidR="005E365B" w:rsidRPr="005E365B">
        <w:t xml:space="preserve"> Brennan (</w:t>
      </w:r>
      <w:r>
        <w:t xml:space="preserve">2010) and Hughes et al. (2016) this study involves </w:t>
      </w:r>
      <w:r w:rsidR="00681882">
        <w:t xml:space="preserve">econometrically </w:t>
      </w:r>
      <w:r w:rsidR="005E365B" w:rsidRPr="005E365B">
        <w:t>estimati</w:t>
      </w:r>
      <w:r>
        <w:t>ng</w:t>
      </w:r>
      <w:r w:rsidR="005E365B" w:rsidRPr="005E365B">
        <w:t xml:space="preserve"> </w:t>
      </w:r>
      <w:r>
        <w:t xml:space="preserve">a series of </w:t>
      </w:r>
      <w:r w:rsidR="00AC2603">
        <w:t xml:space="preserve">short-run (annual) </w:t>
      </w:r>
      <w:r w:rsidR="005E365B" w:rsidRPr="005E365B">
        <w:t xml:space="preserve">water demand </w:t>
      </w:r>
      <w:r>
        <w:t>functions which are</w:t>
      </w:r>
      <w:r w:rsidR="005E365B" w:rsidRPr="005E365B">
        <w:t xml:space="preserve"> then placed within a spatial equilibrium framework to simulate water market prices and trade flows </w:t>
      </w:r>
      <w:r w:rsidR="00681882">
        <w:t xml:space="preserve">across </w:t>
      </w:r>
      <w:r>
        <w:t>t</w:t>
      </w:r>
      <w:r w:rsidR="005E365B" w:rsidRPr="005E365B">
        <w:t xml:space="preserve">he sMDB. As with Brennan (2010) </w:t>
      </w:r>
      <w:r w:rsidR="00106A2D">
        <w:t xml:space="preserve">and </w:t>
      </w:r>
      <w:r w:rsidR="00C84490">
        <w:t xml:space="preserve">Hughes et al. (2016) </w:t>
      </w:r>
      <w:r w:rsidR="005E365B" w:rsidRPr="005E365B">
        <w:t>the model takes into account limits on water allocation trade between regions as defined by prevailing water trading rules.</w:t>
      </w:r>
      <w:r w:rsidR="00EE68F9">
        <w:t xml:space="preserve"> This is significant as in</w:t>
      </w:r>
      <w:r w:rsidR="005E365B" w:rsidRPr="005E365B">
        <w:t xml:space="preserve"> recent years, constraints on interregional water trade have become an important issue within the sMDB. A number of water trade rules, most notably limits on the export of water from the Murrumbidgee have </w:t>
      </w:r>
      <w:r w:rsidR="00457B69">
        <w:t>started to a</w:t>
      </w:r>
      <w:r w:rsidR="005E365B" w:rsidRPr="005E365B">
        <w:t xml:space="preserve">ffect the market leading to differences in water prices between regions (ABARES 2017). </w:t>
      </w:r>
    </w:p>
    <w:p w14:paraId="16846F54" w14:textId="20A12BC9" w:rsidR="005E365B" w:rsidRPr="005E365B" w:rsidRDefault="005E365B" w:rsidP="0018270F">
      <w:pPr>
        <w:pStyle w:val="BodyText1"/>
      </w:pPr>
      <w:r w:rsidRPr="005E365B">
        <w:t>The model presented in this paper, extends that of Hughes et al. (2016) by including an irrigation component, which estimates demand for irrigation water (and land) by region and activity (</w:t>
      </w:r>
      <w:r w:rsidR="00681882">
        <w:t xml:space="preserve">i.e., </w:t>
      </w:r>
      <w:r w:rsidRPr="005E365B">
        <w:t xml:space="preserve">crop type). In this sense, the model provides outputs similar to previous </w:t>
      </w:r>
      <w:r w:rsidR="00681882">
        <w:t>bio-economic</w:t>
      </w:r>
      <w:r w:rsidRPr="005E365B">
        <w:t xml:space="preserve"> models of irrigation in the </w:t>
      </w:r>
      <w:r w:rsidR="006F3E28">
        <w:t>region</w:t>
      </w:r>
      <w:r w:rsidRPr="005E365B">
        <w:t>, of which there is a long tradition (see for example Hall at al. 1994, Adamson et al. 2007, Hafi et al. 2009, Grafton and Jiang</w:t>
      </w:r>
      <w:r w:rsidR="00457B69">
        <w:t xml:space="preserve"> 2011 and Qureshi et al. 2013).</w:t>
      </w:r>
    </w:p>
    <w:p w14:paraId="71AFA801" w14:textId="77777777" w:rsidR="005E365B" w:rsidRPr="005E365B" w:rsidRDefault="005E365B" w:rsidP="005E365B">
      <w:r w:rsidRPr="005E365B">
        <w:t xml:space="preserve">Previous models have employed a range of mathematical programming techniques particularly linear programming, which is subject to number of well documented limitations including “a tendency towards over-specialisation in production and resource allocation” (Qureshi et al. 2013). A range of pragmatic calibration methods have evolved to address these limitations - </w:t>
      </w:r>
      <w:r w:rsidRPr="005E365B">
        <w:lastRenderedPageBreak/>
        <w:t>including Positive Mathematical Programming (PMP). However, these calibration methods remain subject to their own limitations (Heckelei and Wolff 2003, Doole and Marsh 2014).</w:t>
      </w:r>
    </w:p>
    <w:p w14:paraId="7ACD1AEE" w14:textId="76FE0BA9" w:rsidR="005E365B" w:rsidRPr="005E365B" w:rsidRDefault="005E365B" w:rsidP="005E365B">
      <w:r w:rsidRPr="005E365B">
        <w:t xml:space="preserve">The model in this paper does not use calibration techniques, rather the parameters are </w:t>
      </w:r>
      <w:r w:rsidR="00681882">
        <w:t xml:space="preserve">all </w:t>
      </w:r>
      <w:r w:rsidRPr="005E365B">
        <w:t xml:space="preserve">estimated </w:t>
      </w:r>
      <w:r w:rsidR="007A0801">
        <w:t>econometrically</w:t>
      </w:r>
      <w:r w:rsidRPr="005E365B">
        <w:t xml:space="preserve"> using historical data. The basis for this approach is a unique data set detailing water availability (allocation percentages, entitlement volumes and carryover), market outcomes (prices and trade flows), irrigation activity (water and land use), climate (rainfall) and commodity prices for </w:t>
      </w:r>
      <w:r w:rsidR="00321C26">
        <w:t>a consistent set of</w:t>
      </w:r>
      <w:r w:rsidRPr="005E365B">
        <w:t xml:space="preserve"> sMDB regio</w:t>
      </w:r>
      <w:r w:rsidR="0048555E">
        <w:t>n</w:t>
      </w:r>
      <w:r w:rsidR="00321C26">
        <w:t>s</w:t>
      </w:r>
      <w:r w:rsidR="0048555E">
        <w:t xml:space="preserve"> annually</w:t>
      </w:r>
      <w:r w:rsidR="00802327">
        <w:t xml:space="preserve"> over the period 2002–03 to 2016</w:t>
      </w:r>
      <w:r w:rsidR="0048555E">
        <w:t>–</w:t>
      </w:r>
      <w:r w:rsidR="00802327">
        <w:t>17</w:t>
      </w:r>
      <w:r w:rsidRPr="005E365B">
        <w:t xml:space="preserve">. </w:t>
      </w:r>
    </w:p>
    <w:p w14:paraId="298F244F" w14:textId="29146FD0" w:rsidR="005E365B" w:rsidRDefault="005E365B" w:rsidP="005E365B">
      <w:r w:rsidRPr="005E365B">
        <w:t>This data set combines a variety of data sources, including state government water agencies, the Australian Bureau of Statistics (ABS) and the Australian Bureau of Agricultural and Resource Economics and Sciences (ABARES).</w:t>
      </w:r>
      <w:r w:rsidR="00644148">
        <w:t xml:space="preserve"> </w:t>
      </w:r>
      <w:r w:rsidRPr="005E365B">
        <w:t xml:space="preserve">Given inconsistencies between data sets and changes in data collections over time, construction of the data set requires </w:t>
      </w:r>
      <w:r w:rsidR="007A0801">
        <w:t>some</w:t>
      </w:r>
      <w:r w:rsidRPr="005E365B">
        <w:t xml:space="preserve"> approximation which </w:t>
      </w:r>
      <w:r w:rsidR="00C84490">
        <w:t xml:space="preserve">creates a risk of </w:t>
      </w:r>
      <w:r w:rsidRPr="005E365B">
        <w:t>measurement error. Despite this the data set is sufficient to generate realistic water demand responses and produce a model which achieves good validation performance both within and out-of-sample.</w:t>
      </w:r>
    </w:p>
    <w:p w14:paraId="7370AA4F" w14:textId="2915CD44" w:rsidR="008A6A00" w:rsidRPr="005E365B" w:rsidRDefault="005E365B" w:rsidP="005E365B">
      <w:pPr>
        <w:pStyle w:val="BodyText1"/>
      </w:pPr>
      <w:r w:rsidRPr="005E365B">
        <w:t xml:space="preserve">This paper is structured as follows. </w:t>
      </w:r>
      <w:r w:rsidR="00180637">
        <w:t>Chapter</w:t>
      </w:r>
      <w:r w:rsidRPr="005E365B">
        <w:t xml:space="preserve"> 2 summarises the data set and the key assumptions involved in its construction</w:t>
      </w:r>
      <w:r w:rsidR="00C84490">
        <w:t>,</w:t>
      </w:r>
      <w:r w:rsidRPr="005E365B">
        <w:t xml:space="preserve"> </w:t>
      </w:r>
      <w:r w:rsidR="00C84490">
        <w:t xml:space="preserve">with </w:t>
      </w:r>
      <w:r w:rsidRPr="005E365B">
        <w:t xml:space="preserve">a complete description of the data is provided in Appendix A. </w:t>
      </w:r>
      <w:r w:rsidR="00180637">
        <w:t>Chapter</w:t>
      </w:r>
      <w:r w:rsidRPr="005E365B">
        <w:t xml:space="preserve"> 3 outlines the structure of the model, while </w:t>
      </w:r>
      <w:r w:rsidR="00180637">
        <w:t>Chapter</w:t>
      </w:r>
      <w:r w:rsidR="00B525D8">
        <w:t xml:space="preserve"> </w:t>
      </w:r>
      <w:r w:rsidRPr="005E365B">
        <w:t>4 describes the estimation of the parameters</w:t>
      </w:r>
      <w:r w:rsidR="000A1BCE">
        <w:t>.</w:t>
      </w:r>
      <w:r w:rsidRPr="005E365B">
        <w:t xml:space="preserve"> </w:t>
      </w:r>
      <w:r w:rsidR="00180637">
        <w:t>Chapter</w:t>
      </w:r>
      <w:r w:rsidRPr="005E365B">
        <w:t xml:space="preserve"> 5 presents some within and out-of-sample validation tests of the model</w:t>
      </w:r>
      <w:r w:rsidR="0048555E">
        <w:t xml:space="preserve"> under a baseline scenario which describes historical market conditions</w:t>
      </w:r>
      <w:r w:rsidRPr="005E365B">
        <w:t xml:space="preserve">. </w:t>
      </w:r>
      <w:r w:rsidR="00321C26">
        <w:t xml:space="preserve">Finally </w:t>
      </w:r>
      <w:r w:rsidR="00180637">
        <w:t>Chapter</w:t>
      </w:r>
      <w:r w:rsidR="00321C26">
        <w:t xml:space="preserve"> 6</w:t>
      </w:r>
      <w:r w:rsidR="00B525D8">
        <w:t xml:space="preserve"> outlines some </w:t>
      </w:r>
      <w:r w:rsidR="00881675">
        <w:t xml:space="preserve">of the strengths and weaknesses of the model and some </w:t>
      </w:r>
      <w:r w:rsidR="00B525D8">
        <w:t>options for future refinement</w:t>
      </w:r>
      <w:r w:rsidR="004C62A7">
        <w:t>s and application</w:t>
      </w:r>
      <w:r w:rsidR="00B525D8">
        <w:t>.</w:t>
      </w:r>
    </w:p>
    <w:p w14:paraId="4442A112" w14:textId="77777777" w:rsidR="00BE1640" w:rsidRDefault="00BE1640" w:rsidP="00BE1640">
      <w:pPr>
        <w:pStyle w:val="Heading1"/>
      </w:pPr>
      <w:bookmarkStart w:id="6" w:name="_Toc505345852"/>
      <w:r>
        <w:lastRenderedPageBreak/>
        <w:t>Data</w:t>
      </w:r>
      <w:bookmarkEnd w:id="6"/>
    </w:p>
    <w:p w14:paraId="4B29F97E" w14:textId="77777777" w:rsidR="002365BC" w:rsidRPr="002365BC" w:rsidRDefault="002365BC" w:rsidP="002365BC">
      <w:pPr>
        <w:pStyle w:val="Heading2"/>
      </w:pPr>
      <w:bookmarkStart w:id="7" w:name="_Toc505345853"/>
      <w:r>
        <w:t>Data sources and assumptions</w:t>
      </w:r>
      <w:bookmarkEnd w:id="7"/>
    </w:p>
    <w:p w14:paraId="24553B54" w14:textId="64C0253A" w:rsidR="002365BC" w:rsidRDefault="002365BC" w:rsidP="002365BC">
      <w:pPr>
        <w:pStyle w:val="BodyText1"/>
      </w:pPr>
      <w:r>
        <w:t>Th</w:t>
      </w:r>
      <w:r w:rsidR="00A807FF">
        <w:t>e</w:t>
      </w:r>
      <w:r>
        <w:t xml:space="preserve"> model data </w:t>
      </w:r>
      <w:r w:rsidR="007A0801">
        <w:t xml:space="preserve">is </w:t>
      </w:r>
      <w:r>
        <w:t xml:space="preserve">built </w:t>
      </w:r>
      <w:r w:rsidR="00A807FF">
        <w:t>from</w:t>
      </w:r>
      <w:r>
        <w:t xml:space="preserve"> number of sources (listed in</w:t>
      </w:r>
      <w:r w:rsidR="00B843EB">
        <w:t xml:space="preserve"> </w:t>
      </w:r>
      <w:r w:rsidR="00B843EB">
        <w:fldChar w:fldCharType="begin"/>
      </w:r>
      <w:r w:rsidR="00B843EB">
        <w:instrText xml:space="preserve"> REF _Ref493239958 \h </w:instrText>
      </w:r>
      <w:r w:rsidR="00B843EB">
        <w:fldChar w:fldCharType="separate"/>
      </w:r>
      <w:r w:rsidR="00F709AB">
        <w:t>Table A</w:t>
      </w:r>
      <w:r w:rsidR="00F709AB">
        <w:rPr>
          <w:noProof/>
        </w:rPr>
        <w:t>1</w:t>
      </w:r>
      <w:r w:rsidR="00B843EB">
        <w:fldChar w:fldCharType="end"/>
      </w:r>
      <w:r>
        <w:t xml:space="preserve">). There are two key components; the first is a dataset on </w:t>
      </w:r>
      <w:r w:rsidR="00B525D8">
        <w:t>water market outcomes (</w:t>
      </w:r>
      <w:r>
        <w:t xml:space="preserve">water </w:t>
      </w:r>
      <w:r w:rsidR="00B525D8">
        <w:t xml:space="preserve">market prices </w:t>
      </w:r>
      <w:r>
        <w:t>and trade volumes</w:t>
      </w:r>
      <w:r w:rsidR="00B525D8">
        <w:t>), water availability (water allocation, carryover and storage volumes)</w:t>
      </w:r>
      <w:r>
        <w:t xml:space="preserve"> </w:t>
      </w:r>
      <w:r w:rsidR="00B525D8">
        <w:t xml:space="preserve">and climate conditions (rainfall) </w:t>
      </w:r>
      <w:r>
        <w:t>for each of the major sMDB regions</w:t>
      </w:r>
      <w:r w:rsidR="00413275">
        <w:t xml:space="preserve"> for the years 2002–03 to 2016</w:t>
      </w:r>
      <w:r w:rsidR="003E3AD7">
        <w:t>–</w:t>
      </w:r>
      <w:r w:rsidR="00413275">
        <w:t>17</w:t>
      </w:r>
      <w:r>
        <w:t xml:space="preserve">, </w:t>
      </w:r>
      <w:r w:rsidR="0043238C">
        <w:t xml:space="preserve">based on data previously </w:t>
      </w:r>
      <w:r>
        <w:t xml:space="preserve">collated by </w:t>
      </w:r>
      <w:r>
        <w:rPr>
          <w:rFonts w:cs="Cambria"/>
          <w:color w:val="auto"/>
          <w:lang w:eastAsia="en-AU"/>
        </w:rPr>
        <w:t>Hughes, Gupta &amp; Rathakumar (2016)</w:t>
      </w:r>
      <w:r>
        <w:t>.</w:t>
      </w:r>
      <w:r w:rsidR="00644148">
        <w:t xml:space="preserve"> </w:t>
      </w:r>
      <w:r>
        <w:t xml:space="preserve">The second component is a dataset </w:t>
      </w:r>
      <w:r w:rsidR="0043238C">
        <w:t>detailing</w:t>
      </w:r>
      <w:r>
        <w:t xml:space="preserve"> </w:t>
      </w:r>
      <w:r w:rsidR="00B525D8">
        <w:t xml:space="preserve">irrigation </w:t>
      </w:r>
      <w:r>
        <w:t xml:space="preserve">water </w:t>
      </w:r>
      <w:r w:rsidR="00B525D8">
        <w:t xml:space="preserve">and land </w:t>
      </w:r>
      <w:r>
        <w:t>use on farms</w:t>
      </w:r>
      <w:r w:rsidR="00B525D8">
        <w:t xml:space="preserve"> in the sMDB (ABS 2016b) drawing on annual ABS agricultural census and surveys </w:t>
      </w:r>
      <w:r>
        <w:t>between 200</w:t>
      </w:r>
      <w:r w:rsidR="003E3AD7">
        <w:t>2–</w:t>
      </w:r>
      <w:r w:rsidR="00B525D8">
        <w:t>03</w:t>
      </w:r>
      <w:r>
        <w:t xml:space="preserve"> and 20</w:t>
      </w:r>
      <w:r w:rsidR="003E3AD7">
        <w:t>15–</w:t>
      </w:r>
      <w:r w:rsidR="00B525D8">
        <w:t>16</w:t>
      </w:r>
      <w:r>
        <w:t>.</w:t>
      </w:r>
      <w:r w:rsidR="00590E83">
        <w:t xml:space="preserve"> </w:t>
      </w:r>
    </w:p>
    <w:p w14:paraId="74D1D636" w14:textId="6480EEE5" w:rsidR="0043238C" w:rsidRDefault="002365BC" w:rsidP="0043238C">
      <w:pPr>
        <w:pStyle w:val="BodyText1"/>
      </w:pPr>
      <w:r>
        <w:t xml:space="preserve">The construction of this dataset involved significant effort given the large number of data sources and various inconsistencies between them. In particular, a number of modifications to the original sources were required to compile the data into a consistent set of regional and industry definitions. The assumptions made in constructing the </w:t>
      </w:r>
      <w:r w:rsidR="002E598F">
        <w:t xml:space="preserve">final data set are described in </w:t>
      </w:r>
      <w:r>
        <w:t>Appendix A and summar</w:t>
      </w:r>
      <w:r w:rsidR="0043238C">
        <w:t xml:space="preserve">ised below. </w:t>
      </w:r>
      <w:r w:rsidR="0043238C">
        <w:fldChar w:fldCharType="begin"/>
      </w:r>
      <w:r w:rsidR="0043238C">
        <w:instrText xml:space="preserve"> REF _Ref492897336 \h </w:instrText>
      </w:r>
      <w:r w:rsidR="0043238C">
        <w:fldChar w:fldCharType="separate"/>
      </w:r>
      <w:r w:rsidR="00F709AB">
        <w:t xml:space="preserve">Table </w:t>
      </w:r>
      <w:r w:rsidR="00F709AB">
        <w:rPr>
          <w:noProof/>
        </w:rPr>
        <w:t>1</w:t>
      </w:r>
      <w:r w:rsidR="0043238C">
        <w:fldChar w:fldCharType="end"/>
      </w:r>
      <w:r w:rsidR="0043238C">
        <w:t xml:space="preserve"> details the key variables contained in the final data set.</w:t>
      </w:r>
    </w:p>
    <w:p w14:paraId="3113C782" w14:textId="77777777" w:rsidR="0043238C" w:rsidRDefault="0043238C" w:rsidP="0043238C">
      <w:pPr>
        <w:pStyle w:val="Caption"/>
      </w:pPr>
      <w:bookmarkStart w:id="8" w:name="_Ref492897336"/>
      <w:bookmarkStart w:id="9" w:name="_Toc491356904"/>
      <w:bookmarkStart w:id="10" w:name="_Toc505345884"/>
      <w:r>
        <w:t xml:space="preserve">Table </w:t>
      </w:r>
      <w:fldSimple w:instr=" SEQ Table \* ARABIC ">
        <w:r w:rsidR="00F709AB">
          <w:rPr>
            <w:noProof/>
          </w:rPr>
          <w:t>1</w:t>
        </w:r>
      </w:fldSimple>
      <w:bookmarkEnd w:id="8"/>
      <w:r>
        <w:rPr>
          <w:noProof/>
        </w:rPr>
        <w:t xml:space="preserve"> </w:t>
      </w:r>
      <w:bookmarkEnd w:id="9"/>
      <w:r w:rsidR="00C147C6">
        <w:t>Key variables in the final dataset</w:t>
      </w:r>
      <w:bookmarkEnd w:id="10"/>
    </w:p>
    <w:tbl>
      <w:tblPr>
        <w:tblW w:w="5000" w:type="pct"/>
        <w:tblLook w:val="07E0" w:firstRow="1" w:lastRow="1" w:firstColumn="1" w:lastColumn="1" w:noHBand="1" w:noVBand="1"/>
      </w:tblPr>
      <w:tblGrid>
        <w:gridCol w:w="1003"/>
        <w:gridCol w:w="8067"/>
      </w:tblGrid>
      <w:tr w:rsidR="0043238C" w14:paraId="68C2A1F9" w14:textId="77777777" w:rsidTr="009D78B1">
        <w:tc>
          <w:tcPr>
            <w:tcW w:w="0" w:type="auto"/>
            <w:tcBorders>
              <w:top w:val="single" w:sz="4" w:space="0" w:color="auto"/>
              <w:bottom w:val="single" w:sz="4" w:space="0" w:color="auto"/>
            </w:tcBorders>
            <w:vAlign w:val="bottom"/>
          </w:tcPr>
          <w:p w14:paraId="5ED9A3A9" w14:textId="77777777" w:rsidR="0043238C" w:rsidRPr="00FC2DFB" w:rsidRDefault="0043238C" w:rsidP="009D78B1">
            <w:pPr>
              <w:pStyle w:val="Tabletext"/>
              <w:rPr>
                <w:rStyle w:val="Bold"/>
              </w:rPr>
            </w:pPr>
            <w:r w:rsidRPr="00FC2DFB">
              <w:rPr>
                <w:rStyle w:val="Bold"/>
              </w:rPr>
              <w:t>Variable</w:t>
            </w:r>
          </w:p>
        </w:tc>
        <w:tc>
          <w:tcPr>
            <w:tcW w:w="4447" w:type="pct"/>
            <w:tcBorders>
              <w:top w:val="single" w:sz="4" w:space="0" w:color="auto"/>
              <w:bottom w:val="single" w:sz="4" w:space="0" w:color="auto"/>
            </w:tcBorders>
            <w:vAlign w:val="bottom"/>
          </w:tcPr>
          <w:p w14:paraId="5E6877A3" w14:textId="77777777" w:rsidR="0043238C" w:rsidRPr="00FC2DFB" w:rsidRDefault="0043238C" w:rsidP="009D78B1">
            <w:pPr>
              <w:pStyle w:val="Tabletext"/>
              <w:rPr>
                <w:rStyle w:val="Bold"/>
              </w:rPr>
            </w:pPr>
            <w:r w:rsidRPr="00FC2DFB">
              <w:rPr>
                <w:rStyle w:val="Bold"/>
              </w:rPr>
              <w:t>Description</w:t>
            </w:r>
          </w:p>
        </w:tc>
      </w:tr>
      <w:tr w:rsidR="0043238C" w14:paraId="002F354B" w14:textId="77777777" w:rsidTr="009D78B1">
        <w:tc>
          <w:tcPr>
            <w:tcW w:w="5000" w:type="pct"/>
            <w:gridSpan w:val="2"/>
            <w:tcBorders>
              <w:top w:val="single" w:sz="4" w:space="0" w:color="auto"/>
            </w:tcBorders>
            <w:vAlign w:val="bottom"/>
          </w:tcPr>
          <w:p w14:paraId="0DCCADAB" w14:textId="77777777" w:rsidR="0043238C" w:rsidRPr="00FC2DFB" w:rsidRDefault="0043238C" w:rsidP="009D78B1">
            <w:pPr>
              <w:pStyle w:val="Tabletext"/>
              <w:rPr>
                <w:rStyle w:val="Bold"/>
              </w:rPr>
            </w:pPr>
            <w:r>
              <w:rPr>
                <w:rStyle w:val="Bold"/>
              </w:rPr>
              <w:t>Climate</w:t>
            </w:r>
          </w:p>
        </w:tc>
      </w:tr>
      <w:tr w:rsidR="0043238C" w14:paraId="1EA0087F" w14:textId="77777777" w:rsidTr="009D78B1">
        <w:tc>
          <w:tcPr>
            <w:tcW w:w="0" w:type="auto"/>
          </w:tcPr>
          <w:p w14:paraId="2E1C2C41" w14:textId="77777777" w:rsidR="0043238C" w:rsidRDefault="00220589" w:rsidP="009D78B1">
            <w:pPr>
              <w:pStyle w:val="Tabletext"/>
            </w:pPr>
            <m:oMathPara>
              <m:oMath>
                <m:sSub>
                  <m:sSubPr>
                    <m:ctrlPr>
                      <w:rPr>
                        <w:rFonts w:ascii="Cambria Math" w:hAnsi="Cambria Math"/>
                      </w:rPr>
                    </m:ctrlPr>
                  </m:sSubPr>
                  <m:e>
                    <m:r>
                      <w:rPr>
                        <w:rFonts w:ascii="Cambria Math" w:hAnsi="Cambria Math"/>
                      </w:rPr>
                      <m:t>R</m:t>
                    </m:r>
                  </m:e>
                  <m:sub>
                    <m:r>
                      <w:rPr>
                        <w:rFonts w:ascii="Cambria Math" w:hAnsi="Cambria Math"/>
                      </w:rPr>
                      <m:t>it</m:t>
                    </m:r>
                  </m:sub>
                </m:sSub>
              </m:oMath>
            </m:oMathPara>
          </w:p>
        </w:tc>
        <w:tc>
          <w:tcPr>
            <w:tcW w:w="4447" w:type="pct"/>
          </w:tcPr>
          <w:p w14:paraId="09DA8153" w14:textId="77777777" w:rsidR="0043238C" w:rsidRDefault="0043238C" w:rsidP="0043238C">
            <w:pPr>
              <w:pStyle w:val="Tabletext"/>
            </w:pPr>
            <w:r>
              <w:t xml:space="preserve">Average farm rainfall (mm) in region </w:t>
            </w:r>
            <m:oMath>
              <m:r>
                <w:rPr>
                  <w:rFonts w:ascii="Cambria Math" w:hAnsi="Cambria Math"/>
                </w:rPr>
                <m:t>i</m:t>
              </m:r>
            </m:oMath>
            <w:r>
              <w:t xml:space="preserve"> in year </w:t>
            </w:r>
            <m:oMath>
              <m:r>
                <w:rPr>
                  <w:rFonts w:ascii="Cambria Math" w:hAnsi="Cambria Math"/>
                </w:rPr>
                <m:t>t</m:t>
              </m:r>
            </m:oMath>
          </w:p>
        </w:tc>
      </w:tr>
      <w:tr w:rsidR="0043238C" w14:paraId="59EC56CD" w14:textId="77777777" w:rsidTr="009D78B1">
        <w:tc>
          <w:tcPr>
            <w:tcW w:w="5000" w:type="pct"/>
            <w:gridSpan w:val="2"/>
          </w:tcPr>
          <w:p w14:paraId="7C72C494" w14:textId="77777777" w:rsidR="0043238C" w:rsidRPr="00E70C4B" w:rsidRDefault="0043238C" w:rsidP="009D78B1">
            <w:pPr>
              <w:pStyle w:val="Tabletext"/>
              <w:rPr>
                <w:b/>
              </w:rPr>
            </w:pPr>
            <w:r w:rsidRPr="00E70C4B">
              <w:rPr>
                <w:b/>
              </w:rPr>
              <w:t>Irrigation water use and area</w:t>
            </w:r>
          </w:p>
        </w:tc>
      </w:tr>
      <w:tr w:rsidR="0043238C" w14:paraId="14DF0B04" w14:textId="77777777" w:rsidTr="009D78B1">
        <w:tc>
          <w:tcPr>
            <w:tcW w:w="0" w:type="auto"/>
          </w:tcPr>
          <w:p w14:paraId="5ACAEC2F" w14:textId="77777777" w:rsidR="0043238C" w:rsidRDefault="00220589" w:rsidP="009D78B1">
            <w:pPr>
              <w:pStyle w:val="Tabletext"/>
            </w:pPr>
            <m:oMathPara>
              <m:oMath>
                <m:sSub>
                  <m:sSubPr>
                    <m:ctrlPr>
                      <w:rPr>
                        <w:rFonts w:ascii="Cambria Math" w:hAnsi="Cambria Math"/>
                      </w:rPr>
                    </m:ctrlPr>
                  </m:sSubPr>
                  <m:e>
                    <m:r>
                      <w:rPr>
                        <w:rFonts w:ascii="Cambria Math" w:hAnsi="Cambria Math"/>
                      </w:rPr>
                      <m:t>W</m:t>
                    </m:r>
                  </m:e>
                  <m:sub>
                    <m:r>
                      <w:rPr>
                        <w:rFonts w:ascii="Cambria Math" w:hAnsi="Cambria Math"/>
                      </w:rPr>
                      <m:t>ijt</m:t>
                    </m:r>
                  </m:sub>
                </m:sSub>
              </m:oMath>
            </m:oMathPara>
          </w:p>
        </w:tc>
        <w:tc>
          <w:tcPr>
            <w:tcW w:w="4447" w:type="pct"/>
          </w:tcPr>
          <w:p w14:paraId="35D3AEA0" w14:textId="77777777" w:rsidR="0043238C" w:rsidRDefault="0043238C" w:rsidP="0043238C">
            <w:pPr>
              <w:pStyle w:val="Tabletext"/>
            </w:pPr>
            <w:r>
              <w:t xml:space="preserve">Water use (ML) in activity </w:t>
            </w:r>
            <m:oMath>
              <m:r>
                <w:rPr>
                  <w:rFonts w:ascii="Cambria Math" w:hAnsi="Cambria Math"/>
                </w:rPr>
                <m:t>j</m:t>
              </m:r>
            </m:oMath>
            <w:r>
              <w:t xml:space="preserve"> in region </w:t>
            </w:r>
            <m:oMath>
              <m:r>
                <w:rPr>
                  <w:rFonts w:ascii="Cambria Math" w:hAnsi="Cambria Math"/>
                </w:rPr>
                <m:t>i</m:t>
              </m:r>
            </m:oMath>
            <w:r>
              <w:t xml:space="preserve"> in year </w:t>
            </w:r>
            <m:oMath>
              <m:r>
                <w:rPr>
                  <w:rFonts w:ascii="Cambria Math" w:hAnsi="Cambria Math"/>
                </w:rPr>
                <m:t>t</m:t>
              </m:r>
            </m:oMath>
          </w:p>
        </w:tc>
      </w:tr>
      <w:tr w:rsidR="0043238C" w14:paraId="7712C843" w14:textId="77777777" w:rsidTr="009D78B1">
        <w:tc>
          <w:tcPr>
            <w:tcW w:w="0" w:type="auto"/>
          </w:tcPr>
          <w:p w14:paraId="4BB65897" w14:textId="77777777" w:rsidR="0043238C" w:rsidRDefault="00220589" w:rsidP="009D78B1">
            <w:pPr>
              <w:pStyle w:val="Tabletext"/>
            </w:pPr>
            <m:oMathPara>
              <m:oMath>
                <m:sSub>
                  <m:sSubPr>
                    <m:ctrlPr>
                      <w:rPr>
                        <w:rFonts w:ascii="Cambria Math" w:hAnsi="Cambria Math"/>
                      </w:rPr>
                    </m:ctrlPr>
                  </m:sSubPr>
                  <m:e>
                    <m:r>
                      <w:rPr>
                        <w:rFonts w:ascii="Cambria Math" w:hAnsi="Cambria Math"/>
                      </w:rPr>
                      <m:t>L</m:t>
                    </m:r>
                  </m:e>
                  <m:sub>
                    <m:r>
                      <w:rPr>
                        <w:rFonts w:ascii="Cambria Math" w:hAnsi="Cambria Math"/>
                      </w:rPr>
                      <m:t>ijt</m:t>
                    </m:r>
                  </m:sub>
                </m:sSub>
              </m:oMath>
            </m:oMathPara>
          </w:p>
        </w:tc>
        <w:tc>
          <w:tcPr>
            <w:tcW w:w="4447" w:type="pct"/>
          </w:tcPr>
          <w:p w14:paraId="2D718547" w14:textId="77777777" w:rsidR="0043238C" w:rsidRDefault="0043238C" w:rsidP="0043238C">
            <w:pPr>
              <w:pStyle w:val="Tabletext"/>
            </w:pPr>
            <w:r>
              <w:t xml:space="preserve">Land use (HA) for activity </w:t>
            </w:r>
            <m:oMath>
              <m:r>
                <w:rPr>
                  <w:rFonts w:ascii="Cambria Math" w:hAnsi="Cambria Math"/>
                </w:rPr>
                <m:t>j</m:t>
              </m:r>
            </m:oMath>
            <w:r>
              <w:t xml:space="preserve"> in region </w:t>
            </w:r>
            <m:oMath>
              <m:r>
                <w:rPr>
                  <w:rFonts w:ascii="Cambria Math" w:hAnsi="Cambria Math"/>
                </w:rPr>
                <m:t>i</m:t>
              </m:r>
            </m:oMath>
            <w:r>
              <w:t xml:space="preserve"> in year </w:t>
            </w:r>
            <m:oMath>
              <m:r>
                <w:rPr>
                  <w:rFonts w:ascii="Cambria Math" w:hAnsi="Cambria Math"/>
                </w:rPr>
                <m:t>t</m:t>
              </m:r>
            </m:oMath>
          </w:p>
        </w:tc>
      </w:tr>
      <w:tr w:rsidR="00590E83" w14:paraId="6DA33B6F" w14:textId="77777777" w:rsidTr="00590E83">
        <w:tc>
          <w:tcPr>
            <w:tcW w:w="5000" w:type="pct"/>
            <w:gridSpan w:val="2"/>
          </w:tcPr>
          <w:p w14:paraId="26999985" w14:textId="77777777" w:rsidR="00590E83" w:rsidRDefault="00590E83" w:rsidP="0043238C">
            <w:pPr>
              <w:pStyle w:val="Tabletext"/>
            </w:pPr>
            <w:r>
              <w:rPr>
                <w:b/>
              </w:rPr>
              <w:t>Commodity prices</w:t>
            </w:r>
          </w:p>
        </w:tc>
      </w:tr>
      <w:tr w:rsidR="0043238C" w14:paraId="76F85222" w14:textId="77777777" w:rsidTr="009D78B1">
        <w:tc>
          <w:tcPr>
            <w:tcW w:w="0" w:type="auto"/>
          </w:tcPr>
          <w:p w14:paraId="2A2C1367" w14:textId="77777777" w:rsidR="0043238C" w:rsidRDefault="00220589" w:rsidP="009D78B1">
            <w:pPr>
              <w:pStyle w:val="Tabletext"/>
              <w:rPr>
                <w:rFonts w:ascii="Calibri" w:hAnsi="Calibri"/>
              </w:rPr>
            </w:pPr>
            <m:oMathPara>
              <m:oMath>
                <m:sSub>
                  <m:sSubPr>
                    <m:ctrlPr>
                      <w:rPr>
                        <w:rFonts w:ascii="Cambria Math" w:hAnsi="Cambria Math"/>
                      </w:rPr>
                    </m:ctrlPr>
                  </m:sSubPr>
                  <m:e>
                    <m:r>
                      <w:rPr>
                        <w:rFonts w:ascii="Cambria Math" w:hAnsi="Cambria Math"/>
                      </w:rPr>
                      <m:t>Y</m:t>
                    </m:r>
                  </m:e>
                  <m:sub>
                    <m:r>
                      <w:rPr>
                        <w:rFonts w:ascii="Cambria Math" w:hAnsi="Cambria Math"/>
                      </w:rPr>
                      <m:t>ijt</m:t>
                    </m:r>
                  </m:sub>
                </m:sSub>
              </m:oMath>
            </m:oMathPara>
          </w:p>
        </w:tc>
        <w:tc>
          <w:tcPr>
            <w:tcW w:w="4447" w:type="pct"/>
          </w:tcPr>
          <w:p w14:paraId="77F1167B" w14:textId="77777777" w:rsidR="0043238C" w:rsidRDefault="0043238C" w:rsidP="0043238C">
            <w:pPr>
              <w:pStyle w:val="Tabletext"/>
            </w:pPr>
            <w:r>
              <w:t xml:space="preserve">Output price index for activity </w:t>
            </w:r>
            <m:oMath>
              <m:r>
                <w:rPr>
                  <w:rFonts w:ascii="Cambria Math" w:hAnsi="Cambria Math"/>
                </w:rPr>
                <m:t>j</m:t>
              </m:r>
            </m:oMath>
            <w:r>
              <w:t xml:space="preserve"> in region </w:t>
            </w:r>
            <m:oMath>
              <m:r>
                <w:rPr>
                  <w:rFonts w:ascii="Cambria Math" w:hAnsi="Cambria Math"/>
                </w:rPr>
                <m:t>i</m:t>
              </m:r>
            </m:oMath>
            <w:r>
              <w:t xml:space="preserve"> in year </w:t>
            </w:r>
            <m:oMath>
              <m:r>
                <w:rPr>
                  <w:rFonts w:ascii="Cambria Math" w:hAnsi="Cambria Math"/>
                </w:rPr>
                <m:t>t</m:t>
              </m:r>
            </m:oMath>
          </w:p>
        </w:tc>
      </w:tr>
      <w:tr w:rsidR="0043238C" w14:paraId="0B76B6F5" w14:textId="77777777" w:rsidTr="009D78B1">
        <w:tc>
          <w:tcPr>
            <w:tcW w:w="5000" w:type="pct"/>
            <w:gridSpan w:val="2"/>
          </w:tcPr>
          <w:p w14:paraId="2F73E075" w14:textId="77777777" w:rsidR="0043238C" w:rsidRPr="001E71B4" w:rsidRDefault="0043238C" w:rsidP="009D78B1">
            <w:pPr>
              <w:pStyle w:val="Tabletext"/>
              <w:rPr>
                <w:b/>
              </w:rPr>
            </w:pPr>
            <w:r w:rsidRPr="001E71B4">
              <w:rPr>
                <w:b/>
              </w:rPr>
              <w:t>Water allocations and entitlements</w:t>
            </w:r>
          </w:p>
        </w:tc>
      </w:tr>
      <w:tr w:rsidR="0043238C" w14:paraId="308C2880" w14:textId="77777777" w:rsidTr="009D78B1">
        <w:tc>
          <w:tcPr>
            <w:tcW w:w="0" w:type="auto"/>
          </w:tcPr>
          <w:p w14:paraId="64558F4C" w14:textId="77777777" w:rsidR="0043238C" w:rsidRDefault="00220589" w:rsidP="009D78B1">
            <w:pPr>
              <w:pStyle w:val="Tabletext"/>
            </w:pPr>
            <m:oMathPara>
              <m:oMath>
                <m:sSub>
                  <m:sSubPr>
                    <m:ctrlPr>
                      <w:rPr>
                        <w:rFonts w:ascii="Cambria Math" w:hAnsi="Cambria Math"/>
                      </w:rPr>
                    </m:ctrlPr>
                  </m:sSubPr>
                  <m:e>
                    <m:r>
                      <w:rPr>
                        <w:rFonts w:ascii="Cambria Math" w:hAnsi="Cambria Math"/>
                      </w:rPr>
                      <m:t>E</m:t>
                    </m:r>
                  </m:e>
                  <m:sub>
                    <m:r>
                      <w:rPr>
                        <w:rFonts w:ascii="Cambria Math" w:hAnsi="Cambria Math"/>
                      </w:rPr>
                      <m:t>iht</m:t>
                    </m:r>
                  </m:sub>
                </m:sSub>
              </m:oMath>
            </m:oMathPara>
          </w:p>
        </w:tc>
        <w:tc>
          <w:tcPr>
            <w:tcW w:w="4447" w:type="pct"/>
          </w:tcPr>
          <w:p w14:paraId="41673C96" w14:textId="77777777" w:rsidR="0043238C" w:rsidRPr="00C147C6" w:rsidRDefault="0043238C" w:rsidP="00CD0CC5">
            <w:pPr>
              <w:pStyle w:val="Tabletext"/>
              <w:rPr>
                <w:vertAlign w:val="superscript"/>
              </w:rPr>
            </w:pPr>
            <w:r>
              <w:t xml:space="preserve">Water entitlement volume (ML) in region </w:t>
            </w:r>
            <m:oMath>
              <m:r>
                <w:rPr>
                  <w:rFonts w:ascii="Cambria Math" w:hAnsi="Cambria Math"/>
                </w:rPr>
                <m:t>i</m:t>
              </m:r>
            </m:oMath>
            <w:r>
              <w:t xml:space="preserve"> for reliability type </w:t>
            </w:r>
            <m:oMath>
              <m:r>
                <w:rPr>
                  <w:rFonts w:ascii="Cambria Math" w:hAnsi="Cambria Math"/>
                </w:rPr>
                <m:t>h</m:t>
              </m:r>
            </m:oMath>
            <w:r>
              <w:t xml:space="preserve"> in year </w:t>
            </w:r>
            <m:oMath>
              <m:r>
                <w:rPr>
                  <w:rFonts w:ascii="Cambria Math" w:hAnsi="Cambria Math"/>
                </w:rPr>
                <m:t>t</m:t>
              </m:r>
            </m:oMath>
            <w:r w:rsidR="00CD0CC5">
              <w:t xml:space="preserve"> </w:t>
            </w:r>
            <w:r w:rsidR="00CD0CC5" w:rsidRPr="00CD0CC5">
              <w:rPr>
                <w:b/>
              </w:rPr>
              <w:t>a</w:t>
            </w:r>
            <w:r w:rsidR="00C147C6">
              <w:t xml:space="preserve"> </w:t>
            </w:r>
          </w:p>
        </w:tc>
      </w:tr>
      <w:tr w:rsidR="0043238C" w14:paraId="4BB96B5D" w14:textId="77777777" w:rsidTr="009D78B1">
        <w:tc>
          <w:tcPr>
            <w:tcW w:w="0" w:type="auto"/>
          </w:tcPr>
          <w:p w14:paraId="0BFA8075" w14:textId="77777777" w:rsidR="0043238C" w:rsidRDefault="00220589" w:rsidP="009D78B1">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iht</m:t>
                    </m:r>
                  </m:sub>
                </m:sSub>
              </m:oMath>
            </m:oMathPara>
          </w:p>
        </w:tc>
        <w:tc>
          <w:tcPr>
            <w:tcW w:w="4447" w:type="pct"/>
          </w:tcPr>
          <w:p w14:paraId="241EC6B2" w14:textId="57A189F1" w:rsidR="0043238C" w:rsidRDefault="00C147C6" w:rsidP="00C147C6">
            <w:pPr>
              <w:pStyle w:val="Tabletext"/>
            </w:pPr>
            <w:r>
              <w:t>Allocation percentage (%)</w:t>
            </w:r>
            <w:r w:rsidR="00F83C2A">
              <w:t xml:space="preserve"> </w:t>
            </w:r>
            <w:r>
              <w:t xml:space="preserve">for entitlement reliability type </w:t>
            </w:r>
            <w:r>
              <w:rPr>
                <w:i/>
              </w:rPr>
              <w:t xml:space="preserve">h </w:t>
            </w:r>
            <w:r w:rsidR="0043238C" w:rsidRPr="00C147C6">
              <w:t>in</w:t>
            </w:r>
            <w:r w:rsidR="0043238C">
              <w:t xml:space="preserve"> region </w:t>
            </w:r>
            <m:oMath>
              <m:r>
                <w:rPr>
                  <w:rFonts w:ascii="Cambria Math" w:hAnsi="Cambria Math"/>
                </w:rPr>
                <m:t>i</m:t>
              </m:r>
            </m:oMath>
            <w:r w:rsidR="0043238C">
              <w:t xml:space="preserve"> during year </w:t>
            </w:r>
            <m:oMath>
              <m:r>
                <w:rPr>
                  <w:rFonts w:ascii="Cambria Math" w:hAnsi="Cambria Math"/>
                </w:rPr>
                <m:t>t</m:t>
              </m:r>
            </m:oMath>
            <w:r w:rsidR="0043238C">
              <w:t xml:space="preserve"> </w:t>
            </w:r>
          </w:p>
        </w:tc>
      </w:tr>
      <w:tr w:rsidR="00C147C6" w14:paraId="33C61162" w14:textId="77777777" w:rsidTr="009D78B1">
        <w:tc>
          <w:tcPr>
            <w:tcW w:w="0" w:type="auto"/>
          </w:tcPr>
          <w:p w14:paraId="23589A51" w14:textId="77777777" w:rsidR="00C147C6" w:rsidRDefault="00220589" w:rsidP="009D78B1">
            <w:pPr>
              <w:pStyle w:val="Tabletext"/>
            </w:pPr>
            <m:oMathPara>
              <m:oMath>
                <m:sSub>
                  <m:sSubPr>
                    <m:ctrlPr>
                      <w:rPr>
                        <w:rFonts w:ascii="Cambria Math" w:hAnsi="Cambria Math"/>
                      </w:rPr>
                    </m:ctrlPr>
                  </m:sSubPr>
                  <m:e>
                    <m:r>
                      <w:rPr>
                        <w:rFonts w:ascii="Cambria Math" w:hAnsi="Cambria Math"/>
                      </w:rPr>
                      <m:t>c</m:t>
                    </m:r>
                  </m:e>
                  <m:sub>
                    <m:r>
                      <w:rPr>
                        <w:rFonts w:ascii="Cambria Math" w:hAnsi="Cambria Math"/>
                      </w:rPr>
                      <m:t>it</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c</m:t>
                        </m:r>
                      </m:e>
                    </m:acc>
                  </m:e>
                  <m:sub>
                    <m:r>
                      <w:rPr>
                        <w:rFonts w:ascii="Cambria Math" w:hAnsi="Cambria Math"/>
                      </w:rPr>
                      <m:t>it</m:t>
                    </m:r>
                  </m:sub>
                </m:sSub>
                <m:r>
                  <w:rPr>
                    <w:rFonts w:ascii="Cambria Math" w:hAnsi="Cambria Math"/>
                  </w:rPr>
                  <m:t xml:space="preserve"> </m:t>
                </m:r>
              </m:oMath>
            </m:oMathPara>
          </w:p>
        </w:tc>
        <w:tc>
          <w:tcPr>
            <w:tcW w:w="4447" w:type="pct"/>
          </w:tcPr>
          <w:p w14:paraId="1924CC80" w14:textId="440CFD1B" w:rsidR="00C147C6" w:rsidRDefault="00C147C6" w:rsidP="00C147C6">
            <w:pPr>
              <w:pStyle w:val="Tabletext"/>
            </w:pPr>
            <w:r>
              <w:t>Allocation (ML) carried over from previous year</w:t>
            </w:r>
            <w:r w:rsidR="00644148">
              <w:t xml:space="preserve"> </w:t>
            </w:r>
            <w:r>
              <w:t xml:space="preserve">/ carried forward to next year in region </w:t>
            </w:r>
            <w:r>
              <w:rPr>
                <w:i/>
              </w:rPr>
              <w:t>i</w:t>
            </w:r>
            <w:r>
              <w:t xml:space="preserve"> year </w:t>
            </w:r>
            <w:r w:rsidRPr="00C147C6">
              <w:rPr>
                <w:i/>
              </w:rPr>
              <w:t>t</w:t>
            </w:r>
          </w:p>
        </w:tc>
      </w:tr>
      <w:tr w:rsidR="0043238C" w14:paraId="6AB9A5FF" w14:textId="77777777" w:rsidTr="0043238C">
        <w:tc>
          <w:tcPr>
            <w:tcW w:w="0" w:type="auto"/>
          </w:tcPr>
          <w:p w14:paraId="5095AFFF" w14:textId="77777777" w:rsidR="0043238C" w:rsidRDefault="00220589" w:rsidP="009D78B1">
            <w:pPr>
              <w:pStyle w:val="Tabletext"/>
              <w:rPr>
                <w:rFonts w:ascii="Calibri" w:hAnsi="Calibri"/>
              </w:rPr>
            </w:pPr>
            <m:oMathPara>
              <m:oMath>
                <m:sSub>
                  <m:sSubPr>
                    <m:ctrlPr>
                      <w:rPr>
                        <w:rFonts w:ascii="Cambria Math" w:hAnsi="Cambria Math"/>
                      </w:rPr>
                    </m:ctrlPr>
                  </m:sSubPr>
                  <m:e>
                    <m:r>
                      <w:rPr>
                        <w:rFonts w:ascii="Cambria Math" w:hAnsi="Cambria Math"/>
                      </w:rPr>
                      <m:t>Δ</m:t>
                    </m:r>
                  </m:e>
                  <m:sub>
                    <m:r>
                      <w:rPr>
                        <w:rFonts w:ascii="Cambria Math" w:hAnsi="Cambria Math"/>
                      </w:rPr>
                      <m:t>it</m:t>
                    </m:r>
                  </m:sub>
                </m:sSub>
              </m:oMath>
            </m:oMathPara>
          </w:p>
        </w:tc>
        <w:tc>
          <w:tcPr>
            <w:tcW w:w="4447" w:type="pct"/>
          </w:tcPr>
          <w:p w14:paraId="198DA9D9" w14:textId="24A4F673" w:rsidR="0043238C" w:rsidRDefault="0043238C" w:rsidP="0043238C">
            <w:pPr>
              <w:pStyle w:val="Tabletext"/>
            </w:pPr>
            <w:r>
              <w:t xml:space="preserve">Net inter-region water allocation trade (ML) for region </w:t>
            </w:r>
            <m:oMath>
              <m:r>
                <w:rPr>
                  <w:rFonts w:ascii="Cambria Math" w:hAnsi="Cambria Math"/>
                </w:rPr>
                <m:t>i</m:t>
              </m:r>
            </m:oMath>
            <w:r>
              <w:t xml:space="preserve"> during year </w:t>
            </w:r>
            <m:oMath>
              <m:r>
                <w:rPr>
                  <w:rFonts w:ascii="Cambria Math" w:hAnsi="Cambria Math"/>
                </w:rPr>
                <m:t>t</m:t>
              </m:r>
            </m:oMath>
            <w:r w:rsidR="00C35C10">
              <w:t xml:space="preserve"> </w:t>
            </w:r>
            <w:r w:rsidR="00C35C10">
              <w:rPr>
                <w:b/>
              </w:rPr>
              <w:t>b</w:t>
            </w:r>
          </w:p>
        </w:tc>
      </w:tr>
      <w:tr w:rsidR="0043238C" w14:paraId="49645DBD" w14:textId="77777777" w:rsidTr="0043238C">
        <w:tc>
          <w:tcPr>
            <w:tcW w:w="0" w:type="auto"/>
            <w:tcBorders>
              <w:bottom w:val="single" w:sz="4" w:space="0" w:color="auto"/>
            </w:tcBorders>
          </w:tcPr>
          <w:p w14:paraId="6F22225E" w14:textId="77777777" w:rsidR="0043238C" w:rsidRDefault="00220589" w:rsidP="009D78B1">
            <w:pPr>
              <w:pStyle w:val="Tabletext"/>
              <w:rPr>
                <w:rFonts w:ascii="Calibri" w:hAnsi="Calibri"/>
              </w:rPr>
            </w:pPr>
            <m:oMathPara>
              <m:oMath>
                <m:sSub>
                  <m:sSubPr>
                    <m:ctrlPr>
                      <w:rPr>
                        <w:rFonts w:ascii="Cambria Math" w:hAnsi="Cambria Math"/>
                      </w:rPr>
                    </m:ctrlPr>
                  </m:sSubPr>
                  <m:e>
                    <m:r>
                      <w:rPr>
                        <w:rFonts w:ascii="Cambria Math" w:hAnsi="Cambria Math"/>
                      </w:rPr>
                      <m:t>P</m:t>
                    </m:r>
                  </m:e>
                  <m:sub>
                    <m:r>
                      <w:rPr>
                        <w:rFonts w:ascii="Cambria Math" w:hAnsi="Cambria Math"/>
                      </w:rPr>
                      <m:t>it</m:t>
                    </m:r>
                  </m:sub>
                </m:sSub>
              </m:oMath>
            </m:oMathPara>
          </w:p>
        </w:tc>
        <w:tc>
          <w:tcPr>
            <w:tcW w:w="4447" w:type="pct"/>
            <w:tcBorders>
              <w:bottom w:val="single" w:sz="4" w:space="0" w:color="auto"/>
            </w:tcBorders>
          </w:tcPr>
          <w:p w14:paraId="0B8D5E39" w14:textId="77777777" w:rsidR="0043238C" w:rsidRDefault="0043238C" w:rsidP="0043238C">
            <w:pPr>
              <w:pStyle w:val="Tabletext"/>
            </w:pPr>
            <w:r>
              <w:t xml:space="preserve">Average annual water allocation price ($ / ML) in region </w:t>
            </w:r>
            <m:oMath>
              <m:r>
                <w:rPr>
                  <w:rFonts w:ascii="Cambria Math" w:hAnsi="Cambria Math"/>
                </w:rPr>
                <m:t>i</m:t>
              </m:r>
            </m:oMath>
            <w:r>
              <w:t xml:space="preserve"> during year </w:t>
            </w:r>
            <m:oMath>
              <m:r>
                <w:rPr>
                  <w:rFonts w:ascii="Cambria Math" w:hAnsi="Cambria Math"/>
                </w:rPr>
                <m:t>t</m:t>
              </m:r>
            </m:oMath>
          </w:p>
        </w:tc>
      </w:tr>
    </w:tbl>
    <w:p w14:paraId="2A6CFBDF" w14:textId="3A530CC7" w:rsidR="0043238C" w:rsidRPr="002E598F" w:rsidRDefault="00CD0CC5" w:rsidP="00C147C6">
      <w:pPr>
        <w:pStyle w:val="BodyText1"/>
        <w:rPr>
          <w:sz w:val="18"/>
          <w:szCs w:val="18"/>
        </w:rPr>
      </w:pPr>
      <w:r>
        <w:rPr>
          <w:sz w:val="18"/>
          <w:szCs w:val="18"/>
        </w:rPr>
        <w:t xml:space="preserve">Note: </w:t>
      </w:r>
      <w:r w:rsidRPr="00CD0CC5">
        <w:rPr>
          <w:b/>
          <w:sz w:val="18"/>
          <w:szCs w:val="18"/>
        </w:rPr>
        <w:t>a</w:t>
      </w:r>
      <w:r>
        <w:rPr>
          <w:sz w:val="18"/>
          <w:szCs w:val="18"/>
        </w:rPr>
        <w:t xml:space="preserve"> </w:t>
      </w:r>
      <w:r w:rsidR="00C147C6" w:rsidRPr="00C147C6">
        <w:rPr>
          <w:sz w:val="18"/>
          <w:szCs w:val="18"/>
        </w:rPr>
        <w:t>Entitlement volumes are those available for consumptive use after removing Commonwealth water entitlement purchases for the environment (see Hughes et al. 2016 or Appendix A for detail)</w:t>
      </w:r>
      <w:r w:rsidR="00C35C10">
        <w:rPr>
          <w:sz w:val="18"/>
          <w:szCs w:val="18"/>
        </w:rPr>
        <w:t xml:space="preserve">. </w:t>
      </w:r>
      <w:r w:rsidR="002E598F" w:rsidRPr="002E598F">
        <w:rPr>
          <w:b/>
          <w:sz w:val="18"/>
          <w:szCs w:val="18"/>
        </w:rPr>
        <w:t>b</w:t>
      </w:r>
      <w:r w:rsidR="00C35C10">
        <w:rPr>
          <w:sz w:val="18"/>
          <w:szCs w:val="18"/>
        </w:rPr>
        <w:t xml:space="preserve"> </w:t>
      </w:r>
      <w:r w:rsidR="00A807FF">
        <w:rPr>
          <w:sz w:val="18"/>
          <w:szCs w:val="18"/>
        </w:rPr>
        <w:t>I</w:t>
      </w:r>
      <w:r w:rsidR="00C35C10">
        <w:rPr>
          <w:sz w:val="18"/>
          <w:szCs w:val="18"/>
        </w:rPr>
        <w:t xml:space="preserve">nter-regional trade flows exclude non-market environmental transfers </w:t>
      </w:r>
    </w:p>
    <w:p w14:paraId="3207562E" w14:textId="77777777" w:rsidR="00BE1640" w:rsidRDefault="00BE1640" w:rsidP="002365BC">
      <w:pPr>
        <w:pStyle w:val="Heading3"/>
      </w:pPr>
      <w:r>
        <w:t>Regions</w:t>
      </w:r>
    </w:p>
    <w:p w14:paraId="5E81F714" w14:textId="19E9D842" w:rsidR="009D78B1" w:rsidRDefault="009D78B1" w:rsidP="00BE1640">
      <w:pPr>
        <w:pStyle w:val="BodyText1"/>
      </w:pPr>
      <w:r>
        <w:t xml:space="preserve">In this report the sMDB is defined to include the Murray River, the Murrumbidgee and Lower Darling systems, and the Goulburn, Broken, Loddon and Campaspe systems. The </w:t>
      </w:r>
      <w:r w:rsidR="00433791">
        <w:t>precise</w:t>
      </w:r>
      <w:r>
        <w:t xml:space="preserve"> regions </w:t>
      </w:r>
      <w:r w:rsidR="00C147C6">
        <w:t xml:space="preserve">included in this dataset </w:t>
      </w:r>
      <w:r w:rsidR="002365BC">
        <w:t xml:space="preserve">are detailed in </w:t>
      </w:r>
      <w:r w:rsidR="002365BC">
        <w:fldChar w:fldCharType="begin"/>
      </w:r>
      <w:r w:rsidR="002365BC">
        <w:instrText xml:space="preserve"> REF _Ref492896634 \h </w:instrText>
      </w:r>
      <w:r w:rsidR="002365BC">
        <w:fldChar w:fldCharType="separate"/>
      </w:r>
      <w:r w:rsidR="00F709AB">
        <w:t xml:space="preserve">Table </w:t>
      </w:r>
      <w:r w:rsidR="00F709AB">
        <w:rPr>
          <w:noProof/>
        </w:rPr>
        <w:t>2</w:t>
      </w:r>
      <w:r w:rsidR="002365BC">
        <w:fldChar w:fldCharType="end"/>
      </w:r>
      <w:r w:rsidR="002365BC">
        <w:t xml:space="preserve"> and Map 1</w:t>
      </w:r>
      <w:r w:rsidR="00C84490">
        <w:t xml:space="preserve"> below</w:t>
      </w:r>
      <w:r w:rsidR="002365BC">
        <w:t xml:space="preserve">. </w:t>
      </w:r>
    </w:p>
    <w:p w14:paraId="3AF0A856" w14:textId="77777777" w:rsidR="00C147C6" w:rsidRDefault="002365BC" w:rsidP="00BE1640">
      <w:pPr>
        <w:pStyle w:val="BodyText1"/>
      </w:pPr>
      <w:r>
        <w:t xml:space="preserve">Water allocation </w:t>
      </w:r>
      <w:r w:rsidR="0043238C">
        <w:t xml:space="preserve">and </w:t>
      </w:r>
      <w:r>
        <w:t xml:space="preserve">market data (water prices, allocations, carryover, environmental purchases, storage volumes and trade) was </w:t>
      </w:r>
      <w:r w:rsidR="009D78B1">
        <w:t xml:space="preserve">available for most of these regions from the previous </w:t>
      </w:r>
      <w:r w:rsidR="009D78B1">
        <w:lastRenderedPageBreak/>
        <w:t>dataset of Hughes et al. (2016).</w:t>
      </w:r>
      <w:r>
        <w:t xml:space="preserve"> </w:t>
      </w:r>
      <w:r w:rsidR="0026472E">
        <w:t>Some a</w:t>
      </w:r>
      <w:r w:rsidR="009D78B1">
        <w:t>dditional work was required to separate the above and below Barmah segments of the NSW and Vic. Murray regions (see Appendix A for detail).</w:t>
      </w:r>
    </w:p>
    <w:p w14:paraId="3D76BE90" w14:textId="55F4AAF4" w:rsidR="002365BC" w:rsidRDefault="002365BC" w:rsidP="00BE1640">
      <w:pPr>
        <w:pStyle w:val="BodyText1"/>
      </w:pPr>
      <w:r>
        <w:t xml:space="preserve">Water use and irrigation area data was </w:t>
      </w:r>
      <w:r w:rsidR="009D78B1">
        <w:t>available from the ABS</w:t>
      </w:r>
      <w:r>
        <w:t xml:space="preserve"> </w:t>
      </w:r>
      <w:r w:rsidR="009D78B1">
        <w:t>at the Natural Resource Management (NRM) region level. In some cases NRM region boundaries closely match the region d</w:t>
      </w:r>
      <w:r w:rsidR="0026472E">
        <w:t xml:space="preserve">efinitions </w:t>
      </w:r>
      <w:r w:rsidR="00180637">
        <w:t xml:space="preserve">used in this report </w:t>
      </w:r>
      <w:r w:rsidR="0026472E">
        <w:t>(e.g., Murrumbidgee)</w:t>
      </w:r>
      <w:r w:rsidR="00180637">
        <w:t>, while</w:t>
      </w:r>
      <w:r w:rsidR="009D78B1">
        <w:t xml:space="preserve"> in other cases they are substantially different</w:t>
      </w:r>
      <w:r w:rsidR="00C84490">
        <w:t>, such as the</w:t>
      </w:r>
      <w:r w:rsidR="0026472E">
        <w:t xml:space="preserve"> </w:t>
      </w:r>
      <w:r w:rsidR="009D78B1">
        <w:t>Vic</w:t>
      </w:r>
      <w:r w:rsidR="00C84490">
        <w:t>torian (Vic.)</w:t>
      </w:r>
      <w:r w:rsidR="009D78B1">
        <w:t xml:space="preserve"> Murray. For this study, ABS NRM region data was </w:t>
      </w:r>
      <w:r w:rsidR="00180637">
        <w:t>apportioned</w:t>
      </w:r>
      <w:r w:rsidR="009D78B1">
        <w:t xml:space="preserve"> to match </w:t>
      </w:r>
      <w:r>
        <w:t xml:space="preserve">the regions </w:t>
      </w:r>
      <w:r w:rsidR="009D78B1">
        <w:t>defined below</w:t>
      </w:r>
      <w:r>
        <w:t xml:space="preserve">, using </w:t>
      </w:r>
      <w:r w:rsidR="009D78B1">
        <w:t>spatial land us</w:t>
      </w:r>
      <w:r w:rsidR="00180637">
        <w:t>e</w:t>
      </w:r>
      <w:r w:rsidR="009D78B1">
        <w:t xml:space="preserve"> mapping data, as described</w:t>
      </w:r>
      <w:r>
        <w:t xml:space="preserve"> in Appendix A.</w:t>
      </w:r>
      <w:r w:rsidR="007B0D9E">
        <w:t xml:space="preserve"> Prior to </w:t>
      </w:r>
      <w:r w:rsidR="00180637">
        <w:t>2005–06</w:t>
      </w:r>
      <w:r w:rsidR="007B0D9E">
        <w:t xml:space="preserve"> ABS data is only available at Statistical District (SD) region level. The same method was applied to map this data to </w:t>
      </w:r>
      <w:r w:rsidR="00180637">
        <w:t xml:space="preserve">the </w:t>
      </w:r>
      <w:r w:rsidR="0026472E">
        <w:t>regions</w:t>
      </w:r>
      <w:r w:rsidR="00180637">
        <w:t xml:space="preserve"> used in this report</w:t>
      </w:r>
      <w:r w:rsidR="007B0D9E">
        <w:t>.</w:t>
      </w:r>
      <w:r w:rsidR="0026472E">
        <w:t xml:space="preserve"> Future work could make use of ABS unit record data to construct more precise r</w:t>
      </w:r>
      <w:r w:rsidR="007E7595">
        <w:t xml:space="preserve">egional estimates (see </w:t>
      </w:r>
      <w:r w:rsidR="00F85C2D">
        <w:t>chapter</w:t>
      </w:r>
      <w:r w:rsidR="007E7595">
        <w:t xml:space="preserve"> 6</w:t>
      </w:r>
      <w:r w:rsidR="0026472E">
        <w:t xml:space="preserve"> for detail).</w:t>
      </w:r>
    </w:p>
    <w:p w14:paraId="0F79738E" w14:textId="77777777" w:rsidR="002365BC" w:rsidRDefault="002365BC" w:rsidP="002365BC">
      <w:pPr>
        <w:pStyle w:val="Caption"/>
      </w:pPr>
      <w:bookmarkStart w:id="11" w:name="_Ref492896634"/>
      <w:bookmarkStart w:id="12" w:name="_Toc505345885"/>
      <w:r>
        <w:t xml:space="preserve">Table </w:t>
      </w:r>
      <w:fldSimple w:instr=" SEQ Table \* ARABIC ">
        <w:r w:rsidR="00F709AB">
          <w:rPr>
            <w:noProof/>
          </w:rPr>
          <w:t>2</w:t>
        </w:r>
      </w:fldSimple>
      <w:bookmarkEnd w:id="11"/>
      <w:r>
        <w:t xml:space="preserve"> Regions in the sMDB analysed in this report</w:t>
      </w:r>
      <w:bookmarkEnd w:id="12"/>
    </w:p>
    <w:tbl>
      <w:tblPr>
        <w:tblW w:w="1954" w:type="pct"/>
        <w:tblLook w:val="07E0" w:firstRow="1" w:lastRow="1" w:firstColumn="1" w:lastColumn="1" w:noHBand="1" w:noVBand="1"/>
      </w:tblPr>
      <w:tblGrid>
        <w:gridCol w:w="426"/>
        <w:gridCol w:w="3119"/>
      </w:tblGrid>
      <w:tr w:rsidR="002365BC" w14:paraId="7C0D76BD" w14:textId="77777777" w:rsidTr="002365BC">
        <w:tc>
          <w:tcPr>
            <w:tcW w:w="0" w:type="auto"/>
            <w:tcBorders>
              <w:top w:val="single" w:sz="4" w:space="0" w:color="auto"/>
              <w:bottom w:val="single" w:sz="4" w:space="0" w:color="auto"/>
            </w:tcBorders>
            <w:vAlign w:val="bottom"/>
          </w:tcPr>
          <w:p w14:paraId="4152CEE0" w14:textId="77777777" w:rsidR="002365BC" w:rsidRPr="00F00E95" w:rsidRDefault="002365BC" w:rsidP="002365BC">
            <w:pPr>
              <w:pStyle w:val="Tabletext"/>
              <w:rPr>
                <w:rStyle w:val="Bold"/>
              </w:rPr>
            </w:pPr>
            <m:oMathPara>
              <m:oMath>
                <m:r>
                  <w:rPr>
                    <w:rStyle w:val="Bold"/>
                    <w:rFonts w:ascii="Cambria Math" w:hAnsi="Cambria Math"/>
                  </w:rPr>
                  <m:t>i</m:t>
                </m:r>
              </m:oMath>
            </m:oMathPara>
          </w:p>
        </w:tc>
        <w:tc>
          <w:tcPr>
            <w:tcW w:w="4399" w:type="pct"/>
            <w:tcBorders>
              <w:top w:val="single" w:sz="4" w:space="0" w:color="auto"/>
              <w:bottom w:val="single" w:sz="4" w:space="0" w:color="auto"/>
            </w:tcBorders>
            <w:vAlign w:val="bottom"/>
          </w:tcPr>
          <w:p w14:paraId="20D73B5F" w14:textId="77777777" w:rsidR="002365BC" w:rsidRPr="00F00E95" w:rsidRDefault="002365BC" w:rsidP="002365BC">
            <w:pPr>
              <w:pStyle w:val="Tabletext"/>
              <w:rPr>
                <w:rStyle w:val="Bold"/>
              </w:rPr>
            </w:pPr>
            <w:r w:rsidRPr="00F00E95">
              <w:rPr>
                <w:rStyle w:val="Bold"/>
              </w:rPr>
              <w:t>Regions</w:t>
            </w:r>
          </w:p>
        </w:tc>
      </w:tr>
      <w:tr w:rsidR="002365BC" w14:paraId="70AEEEB0" w14:textId="77777777" w:rsidTr="00CD0CC5">
        <w:tc>
          <w:tcPr>
            <w:tcW w:w="0" w:type="auto"/>
            <w:tcBorders>
              <w:top w:val="single" w:sz="4" w:space="0" w:color="auto"/>
            </w:tcBorders>
            <w:vAlign w:val="center"/>
          </w:tcPr>
          <w:p w14:paraId="2B911896" w14:textId="77777777" w:rsidR="002365BC" w:rsidRDefault="002365BC" w:rsidP="00CD0CC5">
            <w:pPr>
              <w:pStyle w:val="Tabletext"/>
            </w:pPr>
            <w:r>
              <w:t>1</w:t>
            </w:r>
          </w:p>
        </w:tc>
        <w:tc>
          <w:tcPr>
            <w:tcW w:w="4399" w:type="pct"/>
            <w:tcBorders>
              <w:top w:val="single" w:sz="4" w:space="0" w:color="auto"/>
            </w:tcBorders>
            <w:vAlign w:val="center"/>
          </w:tcPr>
          <w:p w14:paraId="786909EE" w14:textId="77777777" w:rsidR="002365BC" w:rsidRDefault="002365BC" w:rsidP="00CD0CC5">
            <w:pPr>
              <w:pStyle w:val="Tabletext"/>
            </w:pPr>
            <w:r>
              <w:t>NSW Murray (above Barmah)</w:t>
            </w:r>
          </w:p>
        </w:tc>
      </w:tr>
      <w:tr w:rsidR="002365BC" w14:paraId="67A25AF0" w14:textId="77777777" w:rsidTr="00CD0CC5">
        <w:tc>
          <w:tcPr>
            <w:tcW w:w="0" w:type="auto"/>
            <w:vAlign w:val="center"/>
          </w:tcPr>
          <w:p w14:paraId="0207C044" w14:textId="77777777" w:rsidR="002365BC" w:rsidRDefault="002365BC" w:rsidP="00CD0CC5">
            <w:pPr>
              <w:pStyle w:val="Tabletext"/>
            </w:pPr>
            <w:r>
              <w:t>2</w:t>
            </w:r>
          </w:p>
        </w:tc>
        <w:tc>
          <w:tcPr>
            <w:tcW w:w="4399" w:type="pct"/>
            <w:vAlign w:val="center"/>
          </w:tcPr>
          <w:p w14:paraId="7E679A96" w14:textId="264F425C" w:rsidR="002365BC" w:rsidRDefault="002365BC" w:rsidP="00CD0CC5">
            <w:pPr>
              <w:pStyle w:val="Tabletext"/>
            </w:pPr>
            <w:r>
              <w:t>V</w:t>
            </w:r>
            <w:r w:rsidR="00C84490">
              <w:t>ic.</w:t>
            </w:r>
            <w:r>
              <w:t xml:space="preserve"> Murray (above Barmah)</w:t>
            </w:r>
          </w:p>
        </w:tc>
      </w:tr>
      <w:tr w:rsidR="002365BC" w14:paraId="4F0B9158" w14:textId="77777777" w:rsidTr="00CD0CC5">
        <w:tc>
          <w:tcPr>
            <w:tcW w:w="0" w:type="auto"/>
            <w:vAlign w:val="center"/>
          </w:tcPr>
          <w:p w14:paraId="5A879010" w14:textId="77777777" w:rsidR="002365BC" w:rsidRDefault="002365BC" w:rsidP="00CD0CC5">
            <w:pPr>
              <w:pStyle w:val="Tabletext"/>
            </w:pPr>
            <w:r>
              <w:t>3</w:t>
            </w:r>
          </w:p>
        </w:tc>
        <w:tc>
          <w:tcPr>
            <w:tcW w:w="4399" w:type="pct"/>
            <w:vAlign w:val="center"/>
          </w:tcPr>
          <w:p w14:paraId="1DAE9EB7" w14:textId="49B19698" w:rsidR="002365BC" w:rsidRDefault="002365BC" w:rsidP="00CD0CC5">
            <w:pPr>
              <w:pStyle w:val="Tabletext"/>
            </w:pPr>
            <w:r>
              <w:t>V</w:t>
            </w:r>
            <w:r w:rsidR="00C84490">
              <w:t>ic.</w:t>
            </w:r>
            <w:r>
              <w:t xml:space="preserve"> Goulburn-Broken</w:t>
            </w:r>
          </w:p>
        </w:tc>
      </w:tr>
      <w:tr w:rsidR="002365BC" w14:paraId="3C4CE035" w14:textId="77777777" w:rsidTr="00CD0CC5">
        <w:tc>
          <w:tcPr>
            <w:tcW w:w="0" w:type="auto"/>
            <w:vAlign w:val="center"/>
          </w:tcPr>
          <w:p w14:paraId="09D3C606" w14:textId="77777777" w:rsidR="002365BC" w:rsidRDefault="002365BC" w:rsidP="00CD0CC5">
            <w:pPr>
              <w:pStyle w:val="Tabletext"/>
            </w:pPr>
            <w:r>
              <w:t>4</w:t>
            </w:r>
          </w:p>
        </w:tc>
        <w:tc>
          <w:tcPr>
            <w:tcW w:w="4399" w:type="pct"/>
            <w:vAlign w:val="center"/>
          </w:tcPr>
          <w:p w14:paraId="1C607A9F" w14:textId="3CEB1086" w:rsidR="002365BC" w:rsidRDefault="002365BC" w:rsidP="00CD0CC5">
            <w:pPr>
              <w:pStyle w:val="Tabletext"/>
            </w:pPr>
            <w:r>
              <w:t>V</w:t>
            </w:r>
            <w:r w:rsidR="00C84490">
              <w:t>ic.</w:t>
            </w:r>
            <w:r>
              <w:t xml:space="preserve"> Loddon-Campaspe</w:t>
            </w:r>
          </w:p>
        </w:tc>
      </w:tr>
      <w:tr w:rsidR="002365BC" w14:paraId="296544CD" w14:textId="77777777" w:rsidTr="00CD0CC5">
        <w:tc>
          <w:tcPr>
            <w:tcW w:w="0" w:type="auto"/>
            <w:vAlign w:val="center"/>
          </w:tcPr>
          <w:p w14:paraId="6C421ECD" w14:textId="77777777" w:rsidR="002365BC" w:rsidRDefault="002365BC" w:rsidP="00CD0CC5">
            <w:pPr>
              <w:pStyle w:val="Tabletext"/>
            </w:pPr>
            <w:r>
              <w:t>5</w:t>
            </w:r>
          </w:p>
        </w:tc>
        <w:tc>
          <w:tcPr>
            <w:tcW w:w="4399" w:type="pct"/>
            <w:vAlign w:val="center"/>
          </w:tcPr>
          <w:p w14:paraId="3FA49E9A" w14:textId="77777777" w:rsidR="002365BC" w:rsidRDefault="002365BC" w:rsidP="00CD0CC5">
            <w:pPr>
              <w:pStyle w:val="Tabletext"/>
            </w:pPr>
            <w:r>
              <w:t>NSW Murrumbidgee</w:t>
            </w:r>
          </w:p>
        </w:tc>
      </w:tr>
      <w:tr w:rsidR="002365BC" w14:paraId="35A93DF9" w14:textId="77777777" w:rsidTr="00CD0CC5">
        <w:tc>
          <w:tcPr>
            <w:tcW w:w="0" w:type="auto"/>
            <w:vAlign w:val="center"/>
          </w:tcPr>
          <w:p w14:paraId="2D0D318F" w14:textId="77777777" w:rsidR="002365BC" w:rsidRDefault="002365BC" w:rsidP="00CD0CC5">
            <w:pPr>
              <w:pStyle w:val="Tabletext"/>
            </w:pPr>
            <w:r>
              <w:t>6</w:t>
            </w:r>
          </w:p>
        </w:tc>
        <w:tc>
          <w:tcPr>
            <w:tcW w:w="4399" w:type="pct"/>
            <w:vAlign w:val="center"/>
          </w:tcPr>
          <w:p w14:paraId="6E33008E" w14:textId="77777777" w:rsidR="002365BC" w:rsidRDefault="002365BC" w:rsidP="00CD0CC5">
            <w:pPr>
              <w:pStyle w:val="Tabletext"/>
            </w:pPr>
            <w:r>
              <w:t>NSW Lower-Darling</w:t>
            </w:r>
          </w:p>
        </w:tc>
      </w:tr>
      <w:tr w:rsidR="002365BC" w14:paraId="160267FC" w14:textId="77777777" w:rsidTr="00CD0CC5">
        <w:tc>
          <w:tcPr>
            <w:tcW w:w="0" w:type="auto"/>
            <w:vAlign w:val="center"/>
          </w:tcPr>
          <w:p w14:paraId="38BB52FF" w14:textId="77777777" w:rsidR="002365BC" w:rsidRDefault="002365BC" w:rsidP="00CD0CC5">
            <w:pPr>
              <w:pStyle w:val="Tabletext"/>
            </w:pPr>
            <w:r>
              <w:t>7</w:t>
            </w:r>
          </w:p>
        </w:tc>
        <w:tc>
          <w:tcPr>
            <w:tcW w:w="4399" w:type="pct"/>
            <w:vAlign w:val="center"/>
          </w:tcPr>
          <w:p w14:paraId="056BDCCD" w14:textId="77777777" w:rsidR="002365BC" w:rsidRDefault="002365BC" w:rsidP="00CD0CC5">
            <w:pPr>
              <w:pStyle w:val="Tabletext"/>
            </w:pPr>
            <w:r>
              <w:t>NSW Murray (below Barmah)</w:t>
            </w:r>
          </w:p>
        </w:tc>
      </w:tr>
      <w:tr w:rsidR="002365BC" w14:paraId="3C02D6D0" w14:textId="77777777" w:rsidTr="00CD0CC5">
        <w:tc>
          <w:tcPr>
            <w:tcW w:w="0" w:type="auto"/>
            <w:vAlign w:val="center"/>
          </w:tcPr>
          <w:p w14:paraId="755BFB45" w14:textId="77777777" w:rsidR="002365BC" w:rsidRDefault="002365BC" w:rsidP="00CD0CC5">
            <w:pPr>
              <w:pStyle w:val="Tabletext"/>
            </w:pPr>
            <w:r>
              <w:t>8</w:t>
            </w:r>
          </w:p>
        </w:tc>
        <w:tc>
          <w:tcPr>
            <w:tcW w:w="4399" w:type="pct"/>
            <w:vAlign w:val="center"/>
          </w:tcPr>
          <w:p w14:paraId="64C38644" w14:textId="77777777" w:rsidR="002365BC" w:rsidRDefault="002365BC" w:rsidP="00CD0CC5">
            <w:pPr>
              <w:pStyle w:val="Tabletext"/>
            </w:pPr>
            <w:r>
              <w:t>VIC Murray (below Barmah)</w:t>
            </w:r>
          </w:p>
        </w:tc>
      </w:tr>
      <w:tr w:rsidR="002365BC" w14:paraId="7567003B" w14:textId="77777777" w:rsidTr="00CD0CC5">
        <w:tc>
          <w:tcPr>
            <w:tcW w:w="0" w:type="auto"/>
            <w:tcBorders>
              <w:bottom w:val="single" w:sz="4" w:space="0" w:color="auto"/>
            </w:tcBorders>
            <w:vAlign w:val="center"/>
          </w:tcPr>
          <w:p w14:paraId="53F7C9EB" w14:textId="77777777" w:rsidR="002365BC" w:rsidRDefault="002365BC" w:rsidP="00CD0CC5">
            <w:pPr>
              <w:pStyle w:val="Tabletext"/>
            </w:pPr>
            <w:r>
              <w:t>9</w:t>
            </w:r>
          </w:p>
        </w:tc>
        <w:tc>
          <w:tcPr>
            <w:tcW w:w="4399" w:type="pct"/>
            <w:tcBorders>
              <w:bottom w:val="single" w:sz="4" w:space="0" w:color="auto"/>
            </w:tcBorders>
            <w:vAlign w:val="center"/>
          </w:tcPr>
          <w:p w14:paraId="640A2CD6" w14:textId="77777777" w:rsidR="002365BC" w:rsidRDefault="002365BC" w:rsidP="00CD0CC5">
            <w:pPr>
              <w:pStyle w:val="Tabletext"/>
            </w:pPr>
            <w:r>
              <w:t>SA Murray</w:t>
            </w:r>
          </w:p>
        </w:tc>
      </w:tr>
    </w:tbl>
    <w:p w14:paraId="0B80C642" w14:textId="77777777" w:rsidR="009D78B1" w:rsidRDefault="009D78B1" w:rsidP="00777422">
      <w:pPr>
        <w:pStyle w:val="Notesourcetext"/>
      </w:pPr>
    </w:p>
    <w:p w14:paraId="664277F7" w14:textId="77777777" w:rsidR="00BE1640" w:rsidRDefault="00BE1640" w:rsidP="00BE1640">
      <w:pPr>
        <w:pStyle w:val="Caption"/>
      </w:pPr>
      <w:bookmarkStart w:id="13" w:name="_Toc505345919"/>
      <w:r>
        <w:t xml:space="preserve">Map </w:t>
      </w:r>
      <w:fldSimple w:instr=" SEQ Map \* ARABIC ">
        <w:r w:rsidR="00F709AB">
          <w:rPr>
            <w:noProof/>
          </w:rPr>
          <w:t>1</w:t>
        </w:r>
      </w:fldSimple>
      <w:r>
        <w:t xml:space="preserve"> Southern Murray-Darling Basin water systems and major storages</w:t>
      </w:r>
      <w:bookmarkEnd w:id="13"/>
    </w:p>
    <w:p w14:paraId="1F011C18" w14:textId="77777777" w:rsidR="002471B2" w:rsidRDefault="00BE1640" w:rsidP="00BE1640">
      <w:pPr>
        <w:pStyle w:val="BodyText1"/>
      </w:pPr>
      <w:r w:rsidRPr="00E70C4B">
        <w:rPr>
          <w:noProof/>
          <w:lang w:eastAsia="en-AU"/>
        </w:rPr>
        <w:drawing>
          <wp:inline distT="0" distB="0" distL="0" distR="0" wp14:anchorId="37329719" wp14:editId="2ADB5D72">
            <wp:extent cx="5044146" cy="3528204"/>
            <wp:effectExtent l="19050" t="19050" r="23495" b="15240"/>
            <wp:docPr id="10" name="Picture 10" descr="J:\ProductivityAndWaterAndSocial\Water\_Projects\2016-08_Water_trade_model\_InProgress\images\wtm_irr_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roductivityAndWaterAndSocial\Water\_Projects\2016-08_Water_trade_model\_InProgress\images\wtm_irr_pp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59874" cy="353920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89F84A3" w14:textId="77777777" w:rsidR="00BE1640" w:rsidRDefault="00BE1640" w:rsidP="002365BC">
      <w:pPr>
        <w:pStyle w:val="Heading3"/>
      </w:pPr>
      <w:r>
        <w:lastRenderedPageBreak/>
        <w:t>Irrigation activities</w:t>
      </w:r>
    </w:p>
    <w:p w14:paraId="6AB0125E" w14:textId="2632C3DD" w:rsidR="00433791" w:rsidRDefault="009D78B1" w:rsidP="00A63D46">
      <w:pPr>
        <w:pStyle w:val="BodyText1"/>
      </w:pPr>
      <w:r>
        <w:t xml:space="preserve">The dataset and model presented in this paper </w:t>
      </w:r>
      <w:r w:rsidR="00EE68F9">
        <w:t>include</w:t>
      </w:r>
      <w:r>
        <w:t xml:space="preserve"> the irrigation activities </w:t>
      </w:r>
      <w:r w:rsidR="00EE68F9">
        <w:t xml:space="preserve">shown in </w:t>
      </w:r>
      <w:r w:rsidR="00A63D46">
        <w:fldChar w:fldCharType="begin"/>
      </w:r>
      <w:r w:rsidR="00A63D46">
        <w:instrText xml:space="preserve"> REF _Ref486597615 \h </w:instrText>
      </w:r>
      <w:r w:rsidR="00A63D46">
        <w:fldChar w:fldCharType="separate"/>
      </w:r>
      <w:r w:rsidR="00F709AB">
        <w:t xml:space="preserve">Table </w:t>
      </w:r>
      <w:r w:rsidR="00F709AB">
        <w:rPr>
          <w:noProof/>
        </w:rPr>
        <w:t>3</w:t>
      </w:r>
      <w:r w:rsidR="00A63D46">
        <w:fldChar w:fldCharType="end"/>
      </w:r>
      <w:r w:rsidR="00A63D46">
        <w:t xml:space="preserve">. </w:t>
      </w:r>
      <w:r w:rsidR="00C84490">
        <w:t xml:space="preserve">As </w:t>
      </w:r>
      <w:r w:rsidR="00433791">
        <w:t>t</w:t>
      </w:r>
      <w:r w:rsidR="00A63D46">
        <w:t xml:space="preserve">he definitions for </w:t>
      </w:r>
      <w:r w:rsidR="00433791">
        <w:t>irrigations</w:t>
      </w:r>
      <w:r w:rsidR="00A63D46">
        <w:t xml:space="preserve"> activities </w:t>
      </w:r>
      <w:r w:rsidR="00433791">
        <w:t xml:space="preserve">used by the ABS have changed over time, a complete mapping between ABS activity types and those used in the final data set is presented in </w:t>
      </w:r>
      <w:r w:rsidR="00A63D46">
        <w:t xml:space="preserve">Appendix A. </w:t>
      </w:r>
    </w:p>
    <w:p w14:paraId="7FBD7FFA" w14:textId="77777777" w:rsidR="00A63D46" w:rsidRDefault="00A63D46" w:rsidP="00A63D46">
      <w:pPr>
        <w:pStyle w:val="Caption"/>
      </w:pPr>
      <w:bookmarkStart w:id="14" w:name="_Ref486597615"/>
      <w:bookmarkStart w:id="15" w:name="_Toc491356903"/>
      <w:bookmarkStart w:id="16" w:name="_Toc505345886"/>
      <w:r>
        <w:t xml:space="preserve">Table </w:t>
      </w:r>
      <w:fldSimple w:instr=" SEQ Table \* ARABIC ">
        <w:r w:rsidR="00F709AB">
          <w:rPr>
            <w:noProof/>
          </w:rPr>
          <w:t>3</w:t>
        </w:r>
      </w:fldSimple>
      <w:bookmarkEnd w:id="14"/>
      <w:r>
        <w:rPr>
          <w:noProof/>
        </w:rPr>
        <w:t xml:space="preserve"> </w:t>
      </w:r>
      <w:bookmarkEnd w:id="15"/>
      <w:r>
        <w:t>Irrigation activities</w:t>
      </w:r>
      <w:bookmarkEnd w:id="16"/>
    </w:p>
    <w:tbl>
      <w:tblPr>
        <w:tblW w:w="2188" w:type="pct"/>
        <w:tblLook w:val="07E0" w:firstRow="1" w:lastRow="1" w:firstColumn="1" w:lastColumn="1" w:noHBand="1" w:noVBand="1"/>
      </w:tblPr>
      <w:tblGrid>
        <w:gridCol w:w="713"/>
        <w:gridCol w:w="3256"/>
      </w:tblGrid>
      <w:tr w:rsidR="00A63D46" w14:paraId="4B941581" w14:textId="77777777" w:rsidTr="002E598F">
        <w:tc>
          <w:tcPr>
            <w:tcW w:w="0" w:type="auto"/>
            <w:tcBorders>
              <w:top w:val="single" w:sz="4" w:space="0" w:color="auto"/>
              <w:bottom w:val="single" w:sz="4" w:space="0" w:color="auto"/>
            </w:tcBorders>
            <w:vAlign w:val="bottom"/>
          </w:tcPr>
          <w:p w14:paraId="23E3A63D" w14:textId="77777777" w:rsidR="00A63D46" w:rsidRPr="00F00E95" w:rsidRDefault="00A63D46" w:rsidP="0079654D">
            <w:pPr>
              <w:pStyle w:val="Tabletext"/>
              <w:rPr>
                <w:rStyle w:val="Bold"/>
              </w:rPr>
            </w:pPr>
            <m:oMathPara>
              <m:oMath>
                <m:r>
                  <w:rPr>
                    <w:rStyle w:val="Bold"/>
                    <w:rFonts w:ascii="Cambria Math" w:hAnsi="Cambria Math"/>
                  </w:rPr>
                  <m:t>j</m:t>
                </m:r>
              </m:oMath>
            </m:oMathPara>
          </w:p>
        </w:tc>
        <w:tc>
          <w:tcPr>
            <w:tcW w:w="4102" w:type="pct"/>
            <w:tcBorders>
              <w:top w:val="single" w:sz="4" w:space="0" w:color="auto"/>
              <w:bottom w:val="single" w:sz="4" w:space="0" w:color="auto"/>
            </w:tcBorders>
            <w:vAlign w:val="bottom"/>
          </w:tcPr>
          <w:p w14:paraId="6F6D34EB" w14:textId="77777777" w:rsidR="00A63D46" w:rsidRPr="00F00E95" w:rsidRDefault="00A63D46" w:rsidP="0079654D">
            <w:pPr>
              <w:pStyle w:val="Tabletext"/>
              <w:rPr>
                <w:rStyle w:val="Bold"/>
              </w:rPr>
            </w:pPr>
            <w:r w:rsidRPr="00F00E95">
              <w:rPr>
                <w:rStyle w:val="Bold"/>
              </w:rPr>
              <w:t>Irrigation activities</w:t>
            </w:r>
          </w:p>
        </w:tc>
      </w:tr>
      <w:tr w:rsidR="00A63D46" w14:paraId="752D10D3" w14:textId="77777777" w:rsidTr="002E598F">
        <w:tc>
          <w:tcPr>
            <w:tcW w:w="0" w:type="auto"/>
            <w:tcBorders>
              <w:top w:val="single" w:sz="4" w:space="0" w:color="auto"/>
            </w:tcBorders>
          </w:tcPr>
          <w:p w14:paraId="0B09D2B4" w14:textId="77777777" w:rsidR="00A63D46" w:rsidRDefault="00A63D46" w:rsidP="0079654D">
            <w:pPr>
              <w:pStyle w:val="Tabletext"/>
            </w:pPr>
            <w:r>
              <w:t>1</w:t>
            </w:r>
          </w:p>
        </w:tc>
        <w:tc>
          <w:tcPr>
            <w:tcW w:w="4102" w:type="pct"/>
            <w:tcBorders>
              <w:top w:val="single" w:sz="4" w:space="0" w:color="auto"/>
            </w:tcBorders>
          </w:tcPr>
          <w:p w14:paraId="12E4F8E4" w14:textId="298B9EA9" w:rsidR="00A63D46" w:rsidRDefault="00A63D46" w:rsidP="007A0801">
            <w:pPr>
              <w:pStyle w:val="Tabletext"/>
            </w:pPr>
            <w:r>
              <w:t xml:space="preserve">Pastures </w:t>
            </w:r>
            <w:r w:rsidR="007A0801">
              <w:t>–</w:t>
            </w:r>
            <w:r>
              <w:t xml:space="preserve"> </w:t>
            </w:r>
            <w:r w:rsidR="007A0801">
              <w:t>Grazing (Dairy)</w:t>
            </w:r>
          </w:p>
        </w:tc>
      </w:tr>
      <w:tr w:rsidR="00A63D46" w14:paraId="7A4BE2E6" w14:textId="77777777" w:rsidTr="002E598F">
        <w:tc>
          <w:tcPr>
            <w:tcW w:w="0" w:type="auto"/>
          </w:tcPr>
          <w:p w14:paraId="5CEB723A" w14:textId="77777777" w:rsidR="00A63D46" w:rsidRDefault="00A63D46" w:rsidP="0079654D">
            <w:pPr>
              <w:pStyle w:val="Tabletext"/>
            </w:pPr>
            <w:r>
              <w:t>2</w:t>
            </w:r>
          </w:p>
        </w:tc>
        <w:tc>
          <w:tcPr>
            <w:tcW w:w="4102" w:type="pct"/>
          </w:tcPr>
          <w:p w14:paraId="4F89F369" w14:textId="6CEE2401" w:rsidR="00A63D46" w:rsidRDefault="00A63D46" w:rsidP="0079654D">
            <w:pPr>
              <w:pStyle w:val="Tabletext"/>
            </w:pPr>
            <w:r>
              <w:t xml:space="preserve">Pastures </w:t>
            </w:r>
            <w:r w:rsidR="002E598F">
              <w:t>–</w:t>
            </w:r>
            <w:r>
              <w:t xml:space="preserve"> Hay</w:t>
            </w:r>
          </w:p>
        </w:tc>
      </w:tr>
      <w:tr w:rsidR="00A63D46" w14:paraId="76910C69" w14:textId="77777777" w:rsidTr="002E598F">
        <w:tc>
          <w:tcPr>
            <w:tcW w:w="0" w:type="auto"/>
          </w:tcPr>
          <w:p w14:paraId="4C4C9700" w14:textId="77777777" w:rsidR="00A63D46" w:rsidRDefault="00A63D46" w:rsidP="0079654D">
            <w:pPr>
              <w:pStyle w:val="Tabletext"/>
            </w:pPr>
            <w:r>
              <w:t>3</w:t>
            </w:r>
          </w:p>
        </w:tc>
        <w:tc>
          <w:tcPr>
            <w:tcW w:w="4102" w:type="pct"/>
          </w:tcPr>
          <w:p w14:paraId="3149C82C" w14:textId="77777777" w:rsidR="00A63D46" w:rsidRDefault="00A63D46" w:rsidP="0079654D">
            <w:pPr>
              <w:pStyle w:val="Tabletext"/>
            </w:pPr>
            <w:r>
              <w:t>Cotton</w:t>
            </w:r>
          </w:p>
        </w:tc>
      </w:tr>
      <w:tr w:rsidR="00A63D46" w14:paraId="61BF604C" w14:textId="77777777" w:rsidTr="002E598F">
        <w:tc>
          <w:tcPr>
            <w:tcW w:w="0" w:type="auto"/>
          </w:tcPr>
          <w:p w14:paraId="3595FC79" w14:textId="77777777" w:rsidR="00A63D46" w:rsidRDefault="00A63D46" w:rsidP="0079654D">
            <w:pPr>
              <w:pStyle w:val="Tabletext"/>
            </w:pPr>
            <w:r>
              <w:t>4</w:t>
            </w:r>
          </w:p>
        </w:tc>
        <w:tc>
          <w:tcPr>
            <w:tcW w:w="4102" w:type="pct"/>
          </w:tcPr>
          <w:p w14:paraId="56039030" w14:textId="77777777" w:rsidR="00A63D46" w:rsidRDefault="00A63D46" w:rsidP="0079654D">
            <w:pPr>
              <w:pStyle w:val="Tabletext"/>
            </w:pPr>
            <w:r>
              <w:t>Rice</w:t>
            </w:r>
          </w:p>
        </w:tc>
      </w:tr>
      <w:tr w:rsidR="00A63D46" w14:paraId="2AB77993" w14:textId="77777777" w:rsidTr="002E598F">
        <w:tc>
          <w:tcPr>
            <w:tcW w:w="0" w:type="auto"/>
          </w:tcPr>
          <w:p w14:paraId="05DE1BCE" w14:textId="77777777" w:rsidR="00A63D46" w:rsidRPr="00A939E6" w:rsidRDefault="00A63D46" w:rsidP="0079654D">
            <w:pPr>
              <w:pStyle w:val="Tabletext"/>
            </w:pPr>
            <w:r w:rsidRPr="00A939E6">
              <w:t>5</w:t>
            </w:r>
          </w:p>
        </w:tc>
        <w:tc>
          <w:tcPr>
            <w:tcW w:w="4102" w:type="pct"/>
          </w:tcPr>
          <w:p w14:paraId="34DD594C" w14:textId="77777777" w:rsidR="00A63D46" w:rsidRPr="00A939E6" w:rsidRDefault="00A63D46" w:rsidP="0079654D">
            <w:pPr>
              <w:pStyle w:val="Tabletext"/>
            </w:pPr>
            <w:r w:rsidRPr="00A939E6">
              <w:t>Other cereals</w:t>
            </w:r>
          </w:p>
        </w:tc>
      </w:tr>
      <w:tr w:rsidR="00A63D46" w14:paraId="67FDEC87" w14:textId="77777777" w:rsidTr="002E598F">
        <w:tc>
          <w:tcPr>
            <w:tcW w:w="0" w:type="auto"/>
          </w:tcPr>
          <w:p w14:paraId="5BBFC262" w14:textId="77777777" w:rsidR="00A63D46" w:rsidRPr="00A939E6" w:rsidRDefault="00A63D46" w:rsidP="0079654D">
            <w:pPr>
              <w:pStyle w:val="Tabletext"/>
            </w:pPr>
            <w:r w:rsidRPr="00A939E6">
              <w:t>6</w:t>
            </w:r>
          </w:p>
        </w:tc>
        <w:tc>
          <w:tcPr>
            <w:tcW w:w="4102" w:type="pct"/>
          </w:tcPr>
          <w:p w14:paraId="66911C77" w14:textId="77777777" w:rsidR="00A63D46" w:rsidRPr="00A939E6" w:rsidRDefault="00A63D46" w:rsidP="0079654D">
            <w:pPr>
              <w:pStyle w:val="Tabletext"/>
            </w:pPr>
            <w:r w:rsidRPr="00A939E6">
              <w:t>Other broadacre</w:t>
            </w:r>
          </w:p>
        </w:tc>
      </w:tr>
      <w:tr w:rsidR="00A63D46" w14:paraId="19939233" w14:textId="77777777" w:rsidTr="002E598F">
        <w:tc>
          <w:tcPr>
            <w:tcW w:w="0" w:type="auto"/>
          </w:tcPr>
          <w:p w14:paraId="1367D515" w14:textId="77777777" w:rsidR="00A63D46" w:rsidRDefault="00A63D46" w:rsidP="0079654D">
            <w:pPr>
              <w:pStyle w:val="Tabletext"/>
            </w:pPr>
            <w:r>
              <w:t>7</w:t>
            </w:r>
          </w:p>
        </w:tc>
        <w:tc>
          <w:tcPr>
            <w:tcW w:w="4102" w:type="pct"/>
          </w:tcPr>
          <w:p w14:paraId="11663889" w14:textId="77777777" w:rsidR="00A63D46" w:rsidRDefault="00A63D46" w:rsidP="0079654D">
            <w:pPr>
              <w:pStyle w:val="Tabletext"/>
            </w:pPr>
            <w:r>
              <w:t>Other crops</w:t>
            </w:r>
          </w:p>
        </w:tc>
      </w:tr>
      <w:tr w:rsidR="00A63D46" w14:paraId="43D8F0FE" w14:textId="77777777" w:rsidTr="002E598F">
        <w:tc>
          <w:tcPr>
            <w:tcW w:w="0" w:type="auto"/>
          </w:tcPr>
          <w:p w14:paraId="4D5C6B5E" w14:textId="77777777" w:rsidR="00A63D46" w:rsidRDefault="00A63D46" w:rsidP="0079654D">
            <w:pPr>
              <w:pStyle w:val="Tabletext"/>
            </w:pPr>
            <w:r>
              <w:t>8</w:t>
            </w:r>
          </w:p>
        </w:tc>
        <w:tc>
          <w:tcPr>
            <w:tcW w:w="4102" w:type="pct"/>
          </w:tcPr>
          <w:p w14:paraId="6D8FE1DE" w14:textId="77777777" w:rsidR="00A63D46" w:rsidRDefault="00A63D46" w:rsidP="0079654D">
            <w:pPr>
              <w:pStyle w:val="Tabletext"/>
            </w:pPr>
            <w:r>
              <w:t>Grapes</w:t>
            </w:r>
          </w:p>
        </w:tc>
      </w:tr>
      <w:tr w:rsidR="00A63D46" w14:paraId="6804EB2A" w14:textId="77777777" w:rsidTr="002E598F">
        <w:tc>
          <w:tcPr>
            <w:tcW w:w="0" w:type="auto"/>
          </w:tcPr>
          <w:p w14:paraId="74A2171D" w14:textId="77777777" w:rsidR="00A63D46" w:rsidRDefault="00A63D46" w:rsidP="0079654D">
            <w:pPr>
              <w:pStyle w:val="Tabletext"/>
            </w:pPr>
            <w:r>
              <w:t>9</w:t>
            </w:r>
          </w:p>
        </w:tc>
        <w:tc>
          <w:tcPr>
            <w:tcW w:w="4102" w:type="pct"/>
          </w:tcPr>
          <w:p w14:paraId="095DA162" w14:textId="1601BFAA" w:rsidR="00A63D46" w:rsidRDefault="00A63D46" w:rsidP="007A0801">
            <w:pPr>
              <w:pStyle w:val="Tabletext"/>
            </w:pPr>
            <w:r>
              <w:t>Fruits</w:t>
            </w:r>
            <w:r w:rsidR="00AA7649">
              <w:t xml:space="preserve"> and nuts</w:t>
            </w:r>
          </w:p>
        </w:tc>
      </w:tr>
      <w:tr w:rsidR="00A63D46" w14:paraId="35EF9A00" w14:textId="77777777" w:rsidTr="002E598F">
        <w:tc>
          <w:tcPr>
            <w:tcW w:w="0" w:type="auto"/>
            <w:tcBorders>
              <w:bottom w:val="single" w:sz="4" w:space="0" w:color="auto"/>
            </w:tcBorders>
          </w:tcPr>
          <w:p w14:paraId="1FBE9DCD" w14:textId="77777777" w:rsidR="00A63D46" w:rsidRDefault="00A63D46" w:rsidP="0079654D">
            <w:pPr>
              <w:pStyle w:val="Tabletext"/>
            </w:pPr>
            <w:r>
              <w:t>10</w:t>
            </w:r>
          </w:p>
        </w:tc>
        <w:tc>
          <w:tcPr>
            <w:tcW w:w="4102" w:type="pct"/>
            <w:tcBorders>
              <w:bottom w:val="single" w:sz="4" w:space="0" w:color="auto"/>
            </w:tcBorders>
          </w:tcPr>
          <w:p w14:paraId="6EB87864" w14:textId="77777777" w:rsidR="00A63D46" w:rsidRDefault="00A63D46" w:rsidP="0079654D">
            <w:pPr>
              <w:pStyle w:val="Tabletext"/>
            </w:pPr>
            <w:r>
              <w:t>Vegetables</w:t>
            </w:r>
          </w:p>
        </w:tc>
      </w:tr>
    </w:tbl>
    <w:p w14:paraId="43F3CDA3" w14:textId="77777777" w:rsidR="00CD0CC5" w:rsidRDefault="00CD0CC5" w:rsidP="00777422">
      <w:pPr>
        <w:pStyle w:val="Notesourcetext"/>
      </w:pPr>
      <w:bookmarkStart w:id="17" w:name="entitlement-types"/>
      <w:bookmarkEnd w:id="17"/>
    </w:p>
    <w:p w14:paraId="7B24C5AC" w14:textId="77777777" w:rsidR="00BE1640" w:rsidRDefault="00BE1640" w:rsidP="002365BC">
      <w:pPr>
        <w:pStyle w:val="Heading3"/>
      </w:pPr>
      <w:r>
        <w:t>Entitlement types</w:t>
      </w:r>
    </w:p>
    <w:p w14:paraId="4CC0410F" w14:textId="195190A7" w:rsidR="00A63D46" w:rsidRDefault="00433791" w:rsidP="00433791">
      <w:pPr>
        <w:pStyle w:val="BodyText1"/>
      </w:pPr>
      <w:r>
        <w:t xml:space="preserve">Following Hughes et </w:t>
      </w:r>
      <w:r w:rsidR="00180637">
        <w:t xml:space="preserve">al. (2016) only regulated </w:t>
      </w:r>
      <w:r>
        <w:t>surface water entitlements are accounted for in each region. This includes ‘G</w:t>
      </w:r>
      <w:r w:rsidR="00A63D46">
        <w:t>eneral security</w:t>
      </w:r>
      <w:r>
        <w:t>’ and ‘High</w:t>
      </w:r>
      <w:r w:rsidR="00A63D46">
        <w:t xml:space="preserve"> </w:t>
      </w:r>
      <w:r>
        <w:t xml:space="preserve">security’ entitlements </w:t>
      </w:r>
      <w:r w:rsidR="00A63D46">
        <w:t>in NSW</w:t>
      </w:r>
      <w:r>
        <w:t xml:space="preserve"> regions</w:t>
      </w:r>
      <w:r w:rsidR="00A63D46">
        <w:t xml:space="preserve">. </w:t>
      </w:r>
      <w:r>
        <w:t>‘</w:t>
      </w:r>
      <w:r w:rsidR="00A63D46">
        <w:t>High reliability</w:t>
      </w:r>
      <w:r>
        <w:t>’ and ‘Low reliability’ in Victoria and Class 3 in South Australia</w:t>
      </w:r>
      <w:r w:rsidR="00A63D46">
        <w:t>.</w:t>
      </w:r>
      <w:r w:rsidR="00644148">
        <w:t xml:space="preserve"> </w:t>
      </w:r>
      <w:r>
        <w:t xml:space="preserve">For notation purposes </w:t>
      </w:r>
      <w:r w:rsidR="00A63D46">
        <w:t xml:space="preserve">entitlement types are </w:t>
      </w:r>
      <w:r>
        <w:t>indexed</w:t>
      </w:r>
      <w:r w:rsidR="00A63D46">
        <w:t xml:space="preserve"> by: </w:t>
      </w:r>
      <m:oMath>
        <m:r>
          <w:rPr>
            <w:rFonts w:ascii="Cambria Math" w:hAnsi="Cambria Math"/>
          </w:rPr>
          <m:t>h∈</m:t>
        </m:r>
        <m:d>
          <m:dPr>
            <m:begChr m:val="{"/>
            <m:endChr m:val="}"/>
            <m:ctrlPr>
              <w:rPr>
                <w:rFonts w:ascii="Cambria Math" w:hAnsi="Cambria Math"/>
                <w:i/>
              </w:rPr>
            </m:ctrlPr>
          </m:dPr>
          <m:e>
            <m:r>
              <w:rPr>
                <w:rFonts w:ascii="Cambria Math" w:hAnsi="Cambria Math"/>
              </w:rPr>
              <m:t>high,low</m:t>
            </m:r>
          </m:e>
        </m:d>
        <m:r>
          <w:rPr>
            <w:rFonts w:ascii="Cambria Math" w:hAnsi="Cambria Math"/>
          </w:rPr>
          <m:t xml:space="preserve"> </m:t>
        </m:r>
      </m:oMath>
      <w:r>
        <w:t>(with</w:t>
      </w:r>
      <w:r w:rsidR="00EE68F9">
        <w:t>,</w:t>
      </w:r>
      <w:r>
        <w:t xml:space="preserve"> for example</w:t>
      </w:r>
      <w:r w:rsidR="00EE68F9">
        <w:t>,</w:t>
      </w:r>
      <w:r>
        <w:t xml:space="preserve"> NSW General Security referring to type </w:t>
      </w:r>
      <w:r>
        <w:rPr>
          <w:i/>
        </w:rPr>
        <w:t>low</w:t>
      </w:r>
      <w:r>
        <w:t>)</w:t>
      </w:r>
      <w:r w:rsidR="00A63D46">
        <w:t xml:space="preserve">. Data is compiled for entitlement </w:t>
      </w:r>
      <w:r>
        <w:t>and allocation volumes</w:t>
      </w:r>
      <w:r w:rsidR="00A63D46">
        <w:t xml:space="preserve"> for these entitlement types and is discussed further in Appendix A.</w:t>
      </w:r>
    </w:p>
    <w:p w14:paraId="068CB3BF" w14:textId="77777777" w:rsidR="00BE1640" w:rsidRDefault="00BE1640" w:rsidP="002365BC">
      <w:pPr>
        <w:pStyle w:val="Heading3"/>
      </w:pPr>
      <w:r>
        <w:t>Time</w:t>
      </w:r>
    </w:p>
    <w:p w14:paraId="5ED84AF3" w14:textId="0490C78F" w:rsidR="00A63D46" w:rsidRDefault="002559B6" w:rsidP="00A63D46">
      <w:r>
        <w:t>The dataset contains w</w:t>
      </w:r>
      <w:r w:rsidR="00A63D46">
        <w:t xml:space="preserve">ater allocation </w:t>
      </w:r>
      <w:r w:rsidR="00433791">
        <w:t xml:space="preserve">and </w:t>
      </w:r>
      <w:r w:rsidR="00A63D46">
        <w:t xml:space="preserve">market data </w:t>
      </w:r>
      <w:r w:rsidR="00C84490">
        <w:t>on a financial year basis between</w:t>
      </w:r>
      <w:r w:rsidR="00413275">
        <w:t xml:space="preserve"> 2002–03 to 2016–17</w:t>
      </w:r>
      <w:r w:rsidR="00A63D46">
        <w:t xml:space="preserve">. </w:t>
      </w:r>
      <w:r w:rsidR="00180637">
        <w:t>As mentioned previously</w:t>
      </w:r>
      <w:r w:rsidR="00A63D46">
        <w:t xml:space="preserve">, ABS water </w:t>
      </w:r>
      <w:r>
        <w:t xml:space="preserve">and land </w:t>
      </w:r>
      <w:r w:rsidR="00A63D46">
        <w:t xml:space="preserve">use data by irrigation activity </w:t>
      </w:r>
      <w:r>
        <w:t>and</w:t>
      </w:r>
      <w:r w:rsidR="00A63D46">
        <w:t xml:space="preserve"> </w:t>
      </w:r>
      <w:r>
        <w:t>NRM</w:t>
      </w:r>
      <w:r w:rsidR="00A63D46">
        <w:t xml:space="preserve"> region is available from 2005–06</w:t>
      </w:r>
      <w:r w:rsidR="0026472E">
        <w:t xml:space="preserve">. </w:t>
      </w:r>
      <w:r w:rsidR="00180637">
        <w:t xml:space="preserve">From 2002–03 to 2004–05, </w:t>
      </w:r>
      <w:r>
        <w:t xml:space="preserve">data is only available </w:t>
      </w:r>
      <w:r w:rsidR="00180637">
        <w:t>for</w:t>
      </w:r>
      <w:r>
        <w:t xml:space="preserve"> total water use and land use by </w:t>
      </w:r>
      <w:r w:rsidR="00180637">
        <w:t xml:space="preserve">SD </w:t>
      </w:r>
      <w:r>
        <w:t>region</w:t>
      </w:r>
      <w:r w:rsidR="00180637">
        <w:t>s</w:t>
      </w:r>
      <w:r>
        <w:t>.</w:t>
      </w:r>
      <w:r w:rsidR="00A63D46">
        <w:t xml:space="preserve"> </w:t>
      </w:r>
    </w:p>
    <w:p w14:paraId="2AC03EB2" w14:textId="797EEC38" w:rsidR="00A63D46" w:rsidRDefault="00413275" w:rsidP="00A63D46">
      <w:r>
        <w:t>T</w:t>
      </w:r>
      <w:r w:rsidR="00A63D46">
        <w:t xml:space="preserve">he sample used </w:t>
      </w:r>
      <w:r w:rsidR="002559B6">
        <w:t>for econometric estimation of water and land use demand functions</w:t>
      </w:r>
      <w:r w:rsidR="00A63D46">
        <w:t xml:space="preserve"> </w:t>
      </w:r>
      <w:r w:rsidR="002559B6">
        <w:t>was limited to the period 2005–06 to 201</w:t>
      </w:r>
      <w:r>
        <w:t>5–16</w:t>
      </w:r>
      <w:r w:rsidR="00A63D46">
        <w:t xml:space="preserve">. </w:t>
      </w:r>
      <w:r w:rsidR="00B514B4">
        <w:t xml:space="preserve">Data for the years 2002–03 to 2004–05 </w:t>
      </w:r>
      <w:r w:rsidR="007A0801">
        <w:t xml:space="preserve">and 2016-17 </w:t>
      </w:r>
      <w:r>
        <w:t>are</w:t>
      </w:r>
      <w:r w:rsidR="002559B6">
        <w:t xml:space="preserve"> withheld from estimation and used for out-of-sample model validation.</w:t>
      </w:r>
    </w:p>
    <w:p w14:paraId="56362CB1" w14:textId="77777777" w:rsidR="00952374" w:rsidRDefault="00952374">
      <w:pPr>
        <w:spacing w:after="0" w:line="240" w:lineRule="auto"/>
      </w:pPr>
      <w:r>
        <w:br w:type="page"/>
      </w:r>
    </w:p>
    <w:p w14:paraId="775D7038" w14:textId="77777777" w:rsidR="00952374" w:rsidRDefault="00952374" w:rsidP="00952374">
      <w:pPr>
        <w:pStyle w:val="Heading2"/>
      </w:pPr>
      <w:bookmarkStart w:id="18" w:name="_Toc505345854"/>
      <w:r>
        <w:lastRenderedPageBreak/>
        <w:t>Total water supply and demand</w:t>
      </w:r>
      <w:bookmarkEnd w:id="18"/>
    </w:p>
    <w:p w14:paraId="35267A41" w14:textId="41447D5C" w:rsidR="00AE3811" w:rsidRDefault="00C67DD0" w:rsidP="005069BA">
      <w:r>
        <w:t>One of the challenges with the</w:t>
      </w:r>
      <w:r w:rsidR="005069BA">
        <w:t xml:space="preserve"> data</w:t>
      </w:r>
      <w:r w:rsidR="00AE3811">
        <w:t xml:space="preserve">set </w:t>
      </w:r>
      <w:r w:rsidR="00C249CC">
        <w:t xml:space="preserve">is </w:t>
      </w:r>
      <w:r w:rsidR="00186EAB">
        <w:t>reconciling</w:t>
      </w:r>
      <w:r w:rsidR="005069BA">
        <w:t xml:space="preserve"> water supply and demand</w:t>
      </w:r>
      <w:r w:rsidR="00186EAB">
        <w:t>,</w:t>
      </w:r>
      <w:r w:rsidR="005069BA">
        <w:t xml:space="preserve"> given data for each has been obtained from different sources. Water supply </w:t>
      </w:r>
      <w:r>
        <w:t>is</w:t>
      </w:r>
      <w:r w:rsidR="005069BA">
        <w:t xml:space="preserve"> measured in terms of water allocations and reflect</w:t>
      </w:r>
      <w:r>
        <w:t>s the volume</w:t>
      </w:r>
      <w:r w:rsidR="005069BA">
        <w:t xml:space="preserve"> available for use against major regulated surface water entitlements. Water </w:t>
      </w:r>
      <w:r w:rsidR="00841DBB">
        <w:t xml:space="preserve">use </w:t>
      </w:r>
      <w:r w:rsidR="005069BA">
        <w:t>numbers reflect water applied by farmers as reporte</w:t>
      </w:r>
      <w:r w:rsidR="00186EAB">
        <w:t xml:space="preserve">d in surveys. </w:t>
      </w:r>
      <w:r w:rsidR="005069BA">
        <w:t>There are a variety of legitimate reasons why historical water allocation and water use numbers may differ (beyond the measurement error present in both data sources)</w:t>
      </w:r>
      <w:r w:rsidR="00A30423">
        <w:t>, including</w:t>
      </w:r>
      <w:r w:rsidR="005069BA">
        <w:t>:</w:t>
      </w:r>
    </w:p>
    <w:p w14:paraId="460A28E6" w14:textId="6473924C" w:rsidR="005069BA" w:rsidRDefault="00AE3811" w:rsidP="00C67DD0">
      <w:pPr>
        <w:pStyle w:val="ListParagraph"/>
        <w:numPr>
          <w:ilvl w:val="0"/>
          <w:numId w:val="18"/>
        </w:numPr>
      </w:pPr>
      <w:r>
        <w:t>A</w:t>
      </w:r>
      <w:r w:rsidR="005069BA">
        <w:t xml:space="preserve">dditional sources of water </w:t>
      </w:r>
      <w:r w:rsidR="00C249CC">
        <w:t xml:space="preserve">supply </w:t>
      </w:r>
      <w:r>
        <w:t>not included in the allocation data</w:t>
      </w:r>
      <w:r w:rsidR="005069BA">
        <w:t xml:space="preserve"> </w:t>
      </w:r>
      <w:r>
        <w:t>(such as groundwater and unregulated water)</w:t>
      </w:r>
    </w:p>
    <w:p w14:paraId="145E13DB" w14:textId="7B8A060A" w:rsidR="00AE3811" w:rsidRDefault="00841DBB" w:rsidP="00C67DD0">
      <w:pPr>
        <w:pStyle w:val="ListParagraph"/>
        <w:numPr>
          <w:ilvl w:val="0"/>
          <w:numId w:val="18"/>
        </w:numPr>
      </w:pPr>
      <w:r>
        <w:t>N</w:t>
      </w:r>
      <w:r w:rsidR="00AE3811">
        <w:t>on-irrigation water use (such as urban or stock and domestic) against regulated surface water entitlements (although in practice these activities are normally supported by separate entitlements)</w:t>
      </w:r>
    </w:p>
    <w:p w14:paraId="2EE0532C" w14:textId="47A52625" w:rsidR="00AE3811" w:rsidRPr="00C249CC" w:rsidRDefault="00AE3811" w:rsidP="00C67DD0">
      <w:pPr>
        <w:pStyle w:val="ListParagraph"/>
        <w:numPr>
          <w:ilvl w:val="0"/>
          <w:numId w:val="18"/>
        </w:numPr>
      </w:pPr>
      <w:r>
        <w:t xml:space="preserve">Forfeited water (where allocations are not used, traded or carried over by </w:t>
      </w:r>
      <w:r w:rsidRPr="00C249CC">
        <w:t>farmers)</w:t>
      </w:r>
    </w:p>
    <w:p w14:paraId="55D67852" w14:textId="4BD8AC62" w:rsidR="00AE3811" w:rsidRPr="00C249CC" w:rsidRDefault="00180637" w:rsidP="00BB5FED">
      <w:pPr>
        <w:pStyle w:val="BodyText1"/>
      </w:pPr>
      <w:r w:rsidRPr="00C249CC">
        <w:t>Figure 1 shows total irrigation</w:t>
      </w:r>
      <w:r w:rsidR="005069BA" w:rsidRPr="00C249CC">
        <w:t xml:space="preserve"> water use in the sMDB</w:t>
      </w:r>
      <w:r w:rsidRPr="00C249CC">
        <w:t xml:space="preserve">, </w:t>
      </w:r>
      <w:r w:rsidR="00AE3811" w:rsidRPr="00C249CC">
        <w:t xml:space="preserve">against </w:t>
      </w:r>
      <w:r w:rsidR="005069BA" w:rsidRPr="00C249CC">
        <w:t xml:space="preserve">water </w:t>
      </w:r>
      <w:r w:rsidRPr="00C249CC">
        <w:t>allocation</w:t>
      </w:r>
      <w:r w:rsidR="00AE3811" w:rsidRPr="00C249CC">
        <w:t>s available</w:t>
      </w:r>
      <w:r w:rsidRPr="00C249CC">
        <w:t xml:space="preserve"> </w:t>
      </w:r>
      <w:r w:rsidR="00AE3811" w:rsidRPr="00C249CC">
        <w:t>for use (after accounting for carryover and environmental recovery)</w:t>
      </w:r>
      <w:r w:rsidR="002E64F1" w:rsidRPr="00C249CC">
        <w:t xml:space="preserve"> as recorded in the dataset</w:t>
      </w:r>
      <w:r w:rsidR="00AE3811" w:rsidRPr="00C249CC">
        <w:t xml:space="preserve">. The chart also shows annual diversions (an alternative measure of water demand) as reported by the Murray Darling Basin Authority (MDBA). </w:t>
      </w:r>
      <w:r w:rsidRPr="00C249CC">
        <w:t xml:space="preserve"> </w:t>
      </w:r>
    </w:p>
    <w:p w14:paraId="0F4AD2A1" w14:textId="746E4FA0" w:rsidR="00C249CC" w:rsidRDefault="00AE3811" w:rsidP="00BB5FED">
      <w:pPr>
        <w:pStyle w:val="BodyText1"/>
      </w:pPr>
      <w:r w:rsidRPr="00C249CC">
        <w:t xml:space="preserve">Despite the potential for error, water allocation and </w:t>
      </w:r>
      <w:r w:rsidR="003E3AD7">
        <w:t xml:space="preserve">total </w:t>
      </w:r>
      <w:r w:rsidRPr="00C249CC">
        <w:t xml:space="preserve">water use </w:t>
      </w:r>
      <w:r w:rsidR="002E64F1" w:rsidRPr="00C249CC">
        <w:t>remain</w:t>
      </w:r>
      <w:r w:rsidRPr="00C249CC">
        <w:t xml:space="preserve"> similar over the period. The largest differences are observe</w:t>
      </w:r>
      <w:r w:rsidR="003E3AD7">
        <w:t>d during the flood period (2010–11 to 2012–</w:t>
      </w:r>
      <w:r w:rsidRPr="00C249CC">
        <w:t xml:space="preserve">13) where allocations </w:t>
      </w:r>
      <w:r w:rsidR="00C249CC">
        <w:t>exceed water use (</w:t>
      </w:r>
      <w:r w:rsidR="00A30423">
        <w:t xml:space="preserve">likely </w:t>
      </w:r>
      <w:r w:rsidR="00C249CC">
        <w:t>due to</w:t>
      </w:r>
      <w:r w:rsidR="002E64F1" w:rsidRPr="00C249CC">
        <w:t xml:space="preserve"> </w:t>
      </w:r>
      <w:r w:rsidR="00C249CC">
        <w:t>forfeited allocations)</w:t>
      </w:r>
      <w:r w:rsidRPr="00C249CC">
        <w:t>.</w:t>
      </w:r>
      <w:r w:rsidR="002E64F1" w:rsidRPr="00C249CC">
        <w:t xml:space="preserve"> </w:t>
      </w:r>
      <w:r w:rsidR="00186EAB">
        <w:t>As expected, d</w:t>
      </w:r>
      <w:r w:rsidR="002E64F1" w:rsidRPr="00C249CC">
        <w:t xml:space="preserve">iversions </w:t>
      </w:r>
      <w:r w:rsidR="00C249CC" w:rsidRPr="00C249CC">
        <w:t>are higher than water use and allocations</w:t>
      </w:r>
      <w:r w:rsidR="00186EAB">
        <w:t xml:space="preserve">, </w:t>
      </w:r>
      <w:r w:rsidR="00C249CC" w:rsidRPr="00C249CC">
        <w:t xml:space="preserve">given they include </w:t>
      </w:r>
      <w:r w:rsidR="002E64F1" w:rsidRPr="00C249CC">
        <w:t xml:space="preserve">system losses </w:t>
      </w:r>
      <w:r w:rsidR="00841DBB">
        <w:t>and non-irrigation water use (e.g., urban, stock and domestic etc.)</w:t>
      </w:r>
      <w:r w:rsidR="002E64F1" w:rsidRPr="00C249CC">
        <w:t>.</w:t>
      </w:r>
      <w:r w:rsidR="00C249CC" w:rsidRPr="00C249CC">
        <w:t xml:space="preserve"> </w:t>
      </w:r>
      <w:r w:rsidR="00C67DD0">
        <w:t>D</w:t>
      </w:r>
      <w:r w:rsidR="00C249CC" w:rsidRPr="00C249CC">
        <w:t>espite this</w:t>
      </w:r>
      <w:r w:rsidR="00EE68F9">
        <w:t>,</w:t>
      </w:r>
      <w:r w:rsidR="00C249CC" w:rsidRPr="00C249CC">
        <w:t xml:space="preserve"> diversions </w:t>
      </w:r>
      <w:r w:rsidR="00EE68F9">
        <w:t xml:space="preserve">are closely related </w:t>
      </w:r>
      <w:r w:rsidR="00C249CC" w:rsidRPr="00C249CC">
        <w:t>to water use and allocations over time.</w:t>
      </w:r>
      <w:r w:rsidR="00C249CC">
        <w:t xml:space="preserve"> </w:t>
      </w:r>
    </w:p>
    <w:p w14:paraId="56A70017" w14:textId="62D247B2" w:rsidR="00BB5FED" w:rsidRDefault="002E64F1" w:rsidP="00BB5FED">
      <w:pPr>
        <w:pStyle w:val="BodyText1"/>
      </w:pPr>
      <w:r w:rsidRPr="00C249CC">
        <w:t xml:space="preserve">The </w:t>
      </w:r>
      <w:r w:rsidR="00186EAB">
        <w:t xml:space="preserve">model developed in this study </w:t>
      </w:r>
      <w:r w:rsidR="00C67DD0">
        <w:t>has the flexibility</w:t>
      </w:r>
      <w:r w:rsidR="00C249CC">
        <w:t xml:space="preserve"> to allow for legitimate sources of difference </w:t>
      </w:r>
      <w:r w:rsidR="00186EAB">
        <w:t xml:space="preserve">in </w:t>
      </w:r>
      <w:r w:rsidR="00C249CC">
        <w:t>measures</w:t>
      </w:r>
      <w:r w:rsidR="00186EAB">
        <w:t xml:space="preserve"> of</w:t>
      </w:r>
      <w:r w:rsidR="00C249CC">
        <w:t xml:space="preserve"> water supply and demand (see </w:t>
      </w:r>
      <w:r w:rsidR="00C249CC" w:rsidRPr="00C249CC">
        <w:t>Chapter 3</w:t>
      </w:r>
      <w:r w:rsidR="00C249CC">
        <w:t xml:space="preserve"> for detail).</w:t>
      </w:r>
      <w:r w:rsidR="00E2389B" w:rsidRPr="00C249CC">
        <w:t xml:space="preserve"> </w:t>
      </w:r>
      <w:r w:rsidR="00186EAB">
        <w:t xml:space="preserve">Future research, </w:t>
      </w:r>
      <w:r w:rsidR="00C249CC">
        <w:t>could</w:t>
      </w:r>
      <w:r w:rsidR="00644148" w:rsidRPr="00C249CC">
        <w:t xml:space="preserve"> </w:t>
      </w:r>
      <w:r w:rsidR="00C249CC">
        <w:t xml:space="preserve">help reduce measurement error </w:t>
      </w:r>
      <w:r w:rsidR="00186EAB">
        <w:t xml:space="preserve">in each of these </w:t>
      </w:r>
      <w:r w:rsidR="00644148" w:rsidRPr="00C249CC">
        <w:t>(see chapter 6).</w:t>
      </w:r>
    </w:p>
    <w:p w14:paraId="5FBB53FC" w14:textId="558A8637" w:rsidR="00DF61D7" w:rsidRDefault="00DF61D7" w:rsidP="00DF61D7">
      <w:pPr>
        <w:pStyle w:val="Caption"/>
      </w:pPr>
      <w:bookmarkStart w:id="19" w:name="_Toc505345908"/>
      <w:r>
        <w:t xml:space="preserve">Figure </w:t>
      </w:r>
      <w:fldSimple w:instr=" SEQ Figure \* ARABIC ">
        <w:r w:rsidR="00F709AB">
          <w:rPr>
            <w:noProof/>
          </w:rPr>
          <w:t>1</w:t>
        </w:r>
      </w:fldSimple>
      <w:r>
        <w:t xml:space="preserve"> Total water use, annual diversions and allocation water </w:t>
      </w:r>
      <w:r w:rsidR="00E652BF">
        <w:t>supply</w:t>
      </w:r>
      <w:r>
        <w:t xml:space="preserve"> </w:t>
      </w:r>
      <w:r w:rsidR="00E652BF">
        <w:t>in</w:t>
      </w:r>
      <w:r>
        <w:t xml:space="preserve"> the sMDB</w:t>
      </w:r>
      <w:bookmarkEnd w:id="19"/>
    </w:p>
    <w:p w14:paraId="3091DE63" w14:textId="6168FF0A" w:rsidR="00952374" w:rsidRPr="00952374" w:rsidRDefault="00E652BF" w:rsidP="00952374">
      <w:pPr>
        <w:pStyle w:val="BodyText1"/>
      </w:pPr>
      <w:r w:rsidRPr="00E652BF">
        <w:rPr>
          <w:noProof/>
          <w:lang w:eastAsia="en-AU"/>
        </w:rPr>
        <w:drawing>
          <wp:inline distT="0" distB="0" distL="0" distR="0" wp14:anchorId="1731E472" wp14:editId="5E1744F0">
            <wp:extent cx="4686453" cy="3078000"/>
            <wp:effectExtent l="0" t="0" r="0" b="8255"/>
            <wp:docPr id="3" name="Picture 3" descr="\\Act001cl06fs02\abares_data$\ProductivityAndWaterAndSocial\Water\_Projects\2016-08_Water_trade_model\_InProgress\images\scen_8_charts_revised\Scenario_8_triline_wateruse_Southern Murray-Darling Ba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001cl06fs02\abares_data$\ProductivityAndWaterAndSocial\Water\_Projects\2016-08_Water_trade_model\_InProgress\images\scen_8_charts_revised\Scenario_8_triline_wateruse_Southern Murray-Darling Bas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6453" cy="3078000"/>
                    </a:xfrm>
                    <a:prstGeom prst="rect">
                      <a:avLst/>
                    </a:prstGeom>
                    <a:noFill/>
                    <a:ln>
                      <a:noFill/>
                    </a:ln>
                  </pic:spPr>
                </pic:pic>
              </a:graphicData>
            </a:graphic>
          </wp:inline>
        </w:drawing>
      </w:r>
    </w:p>
    <w:p w14:paraId="670D4EC2" w14:textId="77777777" w:rsidR="00173E15" w:rsidRDefault="00AA7649">
      <w:pPr>
        <w:pStyle w:val="Heading1"/>
      </w:pPr>
      <w:bookmarkStart w:id="20" w:name="sets"/>
      <w:bookmarkStart w:id="21" w:name="_Toc505345855"/>
      <w:bookmarkEnd w:id="20"/>
      <w:r>
        <w:lastRenderedPageBreak/>
        <w:t>M</w:t>
      </w:r>
      <w:r w:rsidR="00DE14AE">
        <w:t>odel</w:t>
      </w:r>
      <w:bookmarkEnd w:id="21"/>
    </w:p>
    <w:p w14:paraId="04935DAB" w14:textId="4E82E797" w:rsidR="004F6B0E" w:rsidRDefault="00E52B2B" w:rsidP="00DE14AE">
      <w:pPr>
        <w:pStyle w:val="BodyText1"/>
      </w:pPr>
      <w:r>
        <w:t>The</w:t>
      </w:r>
      <w:r w:rsidR="00DE14AE">
        <w:t xml:space="preserve"> model </w:t>
      </w:r>
      <w:r w:rsidR="00644148">
        <w:t>uses</w:t>
      </w:r>
      <w:r w:rsidR="00DE14AE">
        <w:t xml:space="preserve"> a spatial partial equilibrium framework</w:t>
      </w:r>
      <w:r w:rsidR="0010700C">
        <w:t xml:space="preserve"> and runs on an annual time step for financial years</w:t>
      </w:r>
      <w:r w:rsidR="004F6B0E">
        <w:t xml:space="preserve">. </w:t>
      </w:r>
      <w:r w:rsidR="00DE14AE">
        <w:t xml:space="preserve">Each region has an initial allocation of water (given entitlement volumes and </w:t>
      </w:r>
      <w:r w:rsidR="00AC2603">
        <w:t xml:space="preserve">annual </w:t>
      </w:r>
      <w:r w:rsidR="00DE14AE">
        <w:t>allocation percentages)</w:t>
      </w:r>
      <w:r w:rsidR="00644148">
        <w:t>, and</w:t>
      </w:r>
      <w:r w:rsidR="00DE14AE">
        <w:t xml:space="preserve"> this water can be traded between activities and across regions subject to defined trading </w:t>
      </w:r>
      <w:r w:rsidR="00841DBB">
        <w:t>rules</w:t>
      </w:r>
      <w:r w:rsidR="00DE14AE">
        <w:t>. E</w:t>
      </w:r>
      <w:r w:rsidR="00D53989">
        <w:t xml:space="preserve">quilibrium prices are </w:t>
      </w:r>
      <w:r w:rsidR="00DE14AE">
        <w:t>those which maximise the</w:t>
      </w:r>
      <w:r w:rsidR="00D53989">
        <w:t xml:space="preserve"> benefits of water use</w:t>
      </w:r>
      <w:r w:rsidR="00DE14AE">
        <w:t xml:space="preserve"> (and equalise the marginal value of water) subject to constraints on trading</w:t>
      </w:r>
      <w:r w:rsidR="00DB533E">
        <w:t xml:space="preserve"> (Figure 2)</w:t>
      </w:r>
      <w:r w:rsidR="00D53989">
        <w:t xml:space="preserve">. </w:t>
      </w:r>
    </w:p>
    <w:p w14:paraId="2FA782DD" w14:textId="675B1255" w:rsidR="00AC2603" w:rsidRDefault="00106A2D" w:rsidP="00DE14AE">
      <w:pPr>
        <w:pStyle w:val="BodyText1"/>
      </w:pPr>
      <w:r>
        <w:t>The model has a</w:t>
      </w:r>
      <w:r w:rsidR="00AC2603">
        <w:t xml:space="preserve"> short-run </w:t>
      </w:r>
      <w:r>
        <w:t>focus</w:t>
      </w:r>
      <w:r w:rsidR="00AC2603">
        <w:t xml:space="preserve">, </w:t>
      </w:r>
      <w:r>
        <w:t>simulating</w:t>
      </w:r>
      <w:r w:rsidR="00AC2603">
        <w:t xml:space="preserve"> the demand for water allocations (by region and </w:t>
      </w:r>
      <w:r w:rsidR="00B46731">
        <w:t>irrigation sector</w:t>
      </w:r>
      <w:r w:rsidR="00AC2603">
        <w:t xml:space="preserve">) </w:t>
      </w:r>
      <w:r w:rsidR="00B46731">
        <w:t>in each year given</w:t>
      </w:r>
      <w:r w:rsidR="00AC2603">
        <w:t xml:space="preserve"> </w:t>
      </w:r>
      <w:r w:rsidR="00B46731">
        <w:t xml:space="preserve">prevailing </w:t>
      </w:r>
      <w:r w:rsidR="00AC2603">
        <w:t>water availability,</w:t>
      </w:r>
      <w:r w:rsidR="00B46731">
        <w:t xml:space="preserve"> rainfall and commodity prices. </w:t>
      </w:r>
      <w:r w:rsidR="00DB655F">
        <w:t>T</w:t>
      </w:r>
      <w:r w:rsidR="00B46731">
        <w:t>he model does not attempt to represent longer-term (i.e., between year) industry adjustment</w:t>
      </w:r>
      <w:r w:rsidR="00DB655F">
        <w:t xml:space="preserve">. In practice, longer term changes in </w:t>
      </w:r>
      <w:r w:rsidR="00A14EEB">
        <w:t xml:space="preserve">irrigation </w:t>
      </w:r>
      <w:r w:rsidR="00DB655F">
        <w:t xml:space="preserve">water demand (e.g., changes in </w:t>
      </w:r>
      <w:r w:rsidR="00A14EEB">
        <w:t xml:space="preserve">the mix of </w:t>
      </w:r>
      <w:r w:rsidR="00DB655F">
        <w:t xml:space="preserve">perennial </w:t>
      </w:r>
      <w:r w:rsidR="00A14EEB">
        <w:t xml:space="preserve">vs annual </w:t>
      </w:r>
      <w:r w:rsidR="00DB655F">
        <w:t xml:space="preserve">crops,) depend on expectations over future conditions / market prices. </w:t>
      </w:r>
      <w:r>
        <w:t>Proper representation of these</w:t>
      </w:r>
      <w:r w:rsidR="00DB655F">
        <w:t xml:space="preserve"> changes requires explicit consideration of risk and uncertainty (see</w:t>
      </w:r>
      <w:r w:rsidR="00A14EEB">
        <w:t xml:space="preserve"> Brennan 2006, Adamson et al. 2017</w:t>
      </w:r>
      <w:r w:rsidR="00DB655F">
        <w:t>) which remains outside the scope of this study.</w:t>
      </w:r>
    </w:p>
    <w:p w14:paraId="1A2F1B96" w14:textId="77777777" w:rsidR="002D5DBA" w:rsidRDefault="002D5DBA" w:rsidP="00786188">
      <w:pPr>
        <w:pStyle w:val="Heading2"/>
      </w:pPr>
      <w:bookmarkStart w:id="22" w:name="_Toc505345856"/>
      <w:r>
        <w:t>Water supply</w:t>
      </w:r>
      <w:bookmarkEnd w:id="22"/>
    </w:p>
    <w:p w14:paraId="1C421AB8" w14:textId="77777777" w:rsidR="00611BB3" w:rsidRDefault="00611BB3" w:rsidP="00611BB3">
      <w:r>
        <w:t xml:space="preserve">In this framework, allocation water supply is exogenous and is estimated after accounting for carryover and environmental purchases. Allocations available in region </w:t>
      </w:r>
      <m:oMath>
        <m:r>
          <w:rPr>
            <w:rFonts w:ascii="Cambria Math" w:hAnsi="Cambria Math"/>
          </w:rPr>
          <m:t>i</m:t>
        </m:r>
      </m:oMath>
      <w:r>
        <w:t xml:space="preserve"> prior to trade are defined as:</w:t>
      </w:r>
    </w:p>
    <w:p w14:paraId="2F07B46D" w14:textId="77777777" w:rsidR="00611BB3" w:rsidRPr="00E07367" w:rsidRDefault="00220589" w:rsidP="00611BB3">
      <w:pPr>
        <w:pStyle w:val="BodyText"/>
      </w:pPr>
      <m:oMathPara>
        <m:oMathParaPr>
          <m:jc m:val="center"/>
        </m:oMathParaPr>
        <m:oMath>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nary>
            <m:naryPr>
              <m:chr m:val="∑"/>
              <m:limLoc m:val="undOvr"/>
              <m:subHide m:val="1"/>
              <m:ctrlPr>
                <w:rPr>
                  <w:rFonts w:ascii="Cambria Math" w:hAnsi="Cambria Math"/>
                </w:rPr>
              </m:ctrlPr>
            </m:naryPr>
            <m:sub/>
            <m:sup>
              <m:r>
                <w:rPr>
                  <w:rFonts w:ascii="Cambria Math" w:hAnsi="Cambria Math"/>
                </w:rPr>
                <m:t>h∈H</m:t>
              </m:r>
            </m:sup>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iht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iht</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iht</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c</m:t>
                          </m:r>
                        </m:e>
                      </m:bar>
                    </m:e>
                    <m:sub>
                      <m:r>
                        <w:rPr>
                          <w:rFonts w:ascii="Cambria Math" w:hAnsi="Cambria Math"/>
                        </w:rPr>
                        <m:t>iht</m:t>
                      </m:r>
                    </m:sub>
                  </m:sSub>
                </m:e>
              </m:d>
            </m:e>
          </m:nary>
          <m:r>
            <w:rPr>
              <w:rFonts w:ascii="Cambria Math" w:hAnsi="Cambria Math"/>
            </w:rPr>
            <m:t>  (1)</m:t>
          </m:r>
        </m:oMath>
      </m:oMathPara>
    </w:p>
    <w:p w14:paraId="3E9F225E" w14:textId="77777777" w:rsidR="00DB533E" w:rsidRDefault="00DE14AE" w:rsidP="00611BB3">
      <w:pPr>
        <w:pStyle w:val="BodyText"/>
      </w:pPr>
      <w:r>
        <w:t xml:space="preserve">Here entitlement volumes are those available for consumptive use (after adjusting for environmental purchases), while allocation percentages are ‘final’ (those prevailing at the end of the financial year). </w:t>
      </w:r>
      <w:r w:rsidR="00AD1146">
        <w:t xml:space="preserve">The above equation accounts for carryover from the previous </w:t>
      </w:r>
      <w:r>
        <w:t xml:space="preserve">year </w:t>
      </w:r>
      <w:r w:rsidR="00AD1146">
        <w:t xml:space="preserve">and carryover into the next </w:t>
      </w:r>
      <w:r>
        <w:t>year which are both taken as exogenous.</w:t>
      </w:r>
    </w:p>
    <w:p w14:paraId="37C9816C" w14:textId="77777777" w:rsidR="00DB533E" w:rsidRDefault="00DB533E" w:rsidP="00DB533E">
      <w:pPr>
        <w:pStyle w:val="Heading2"/>
      </w:pPr>
      <w:bookmarkStart w:id="23" w:name="_Toc505345857"/>
      <w:r>
        <w:t>Water demand</w:t>
      </w:r>
      <w:bookmarkEnd w:id="23"/>
    </w:p>
    <w:p w14:paraId="4876CBC6" w14:textId="77777777" w:rsidR="00DB533E" w:rsidRDefault="00DB533E" w:rsidP="00DB533E">
      <w:pPr>
        <w:pStyle w:val="BodyText1"/>
      </w:pPr>
      <w:r>
        <w:t>Water allocation demand is estimated for each irrigation activity in each region based on the schematic illustrated in Figure 2.</w:t>
      </w:r>
    </w:p>
    <w:p w14:paraId="107445F9" w14:textId="77777777" w:rsidR="00DB533E" w:rsidRPr="00786188" w:rsidRDefault="00DB533E" w:rsidP="00DB533E">
      <w:pPr>
        <w:pStyle w:val="Heading3"/>
      </w:pPr>
      <w:r>
        <w:t>Irrigation land use</w:t>
      </w:r>
    </w:p>
    <w:p w14:paraId="57AD092B" w14:textId="2BDB412A" w:rsidR="00DB533E" w:rsidRDefault="00DB533E" w:rsidP="00DB533E">
      <w:pPr>
        <w:pStyle w:val="BodyText1"/>
      </w:pPr>
      <w:r>
        <w:t xml:space="preserve">For activities 8 and 9 (grapes and fruit and nuts) land use </w:t>
      </w:r>
      <m:oMath>
        <m:sSub>
          <m:sSubPr>
            <m:ctrlPr>
              <w:rPr>
                <w:rFonts w:ascii="Cambria Math" w:hAnsi="Cambria Math"/>
              </w:rPr>
            </m:ctrlPr>
          </m:sSubPr>
          <m:e>
            <m:r>
              <w:rPr>
                <w:rFonts w:ascii="Cambria Math" w:hAnsi="Cambria Math"/>
              </w:rPr>
              <m:t>L</m:t>
            </m:r>
          </m:e>
          <m:sub>
            <m:r>
              <w:rPr>
                <w:rFonts w:ascii="Cambria Math" w:hAnsi="Cambria Math"/>
              </w:rPr>
              <m:t>ijt</m:t>
            </m:r>
          </m:sub>
        </m:sSub>
      </m:oMath>
      <w:r>
        <w:t xml:space="preserve"> is taken as exogenous</w:t>
      </w:r>
      <w:r w:rsidR="009F117A">
        <w:t xml:space="preserve"> and set to historical values </w:t>
      </w:r>
      <w:r>
        <w:t>(based on the prevailing annual land areas in the dataset). Perennial land areas can be varied for the purposes of scenario analysis as discussed further in the conclusions.</w:t>
      </w:r>
    </w:p>
    <w:p w14:paraId="24459ACD" w14:textId="77777777" w:rsidR="00DB533E" w:rsidRDefault="00DB533E" w:rsidP="00DB533E">
      <w:pPr>
        <w:pStyle w:val="BodyText1"/>
      </w:pPr>
      <w:r>
        <w:t xml:space="preserve">For other activities annual land use by region is defined as a function of water allocation prices, rainfall and commodity prices (equation 2) where </w:t>
      </w:r>
      <m:oMath>
        <m:sSubSup>
          <m:sSubSupPr>
            <m:ctrlPr>
              <w:rPr>
                <w:rFonts w:ascii="Cambria Math" w:hAnsi="Cambria Math"/>
              </w:rPr>
            </m:ctrlPr>
          </m:sSubSupPr>
          <m:e>
            <m:r>
              <m:rPr>
                <m:sty m:val="b"/>
              </m:rPr>
              <w:rPr>
                <w:rFonts w:ascii="Cambria Math" w:hAnsi="Cambria Math"/>
              </w:rPr>
              <m:t>β</m:t>
            </m:r>
          </m:e>
          <m:sub>
            <m:r>
              <w:rPr>
                <w:rFonts w:ascii="Cambria Math" w:hAnsi="Cambria Math"/>
              </w:rPr>
              <m:t>ij</m:t>
            </m:r>
          </m:sub>
          <m:sup>
            <m:r>
              <w:rPr>
                <w:rFonts w:ascii="Cambria Math" w:hAnsi="Cambria Math"/>
              </w:rPr>
              <m:t>L</m:t>
            </m:r>
          </m:sup>
        </m:sSubSup>
      </m:oMath>
      <w:r>
        <w:t xml:space="preserve"> are parameters to be estimated.</w:t>
      </w:r>
    </w:p>
    <w:p w14:paraId="1D507EB2" w14:textId="77777777" w:rsidR="00DB533E" w:rsidRPr="00A30423" w:rsidRDefault="00220589" w:rsidP="00DB533E">
      <w:pPr>
        <w:pStyle w:val="BodyText"/>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ijt</m:t>
              </m:r>
            </m:sub>
          </m:sSub>
          <m:r>
            <w:rPr>
              <w:rFonts w:ascii="Cambria Math" w:hAnsi="Cambria Math"/>
            </w:rPr>
            <m:t>=</m:t>
          </m:r>
          <m:sSup>
            <m:sSupPr>
              <m:ctrlPr>
                <w:rPr>
                  <w:rFonts w:ascii="Cambria Math" w:hAnsi="Cambria Math"/>
                </w:rPr>
              </m:ctrlPr>
            </m:sSupPr>
            <m:e>
              <m:r>
                <w:rPr>
                  <w:rFonts w:ascii="Cambria Math" w:hAnsi="Cambria Math"/>
                </w:rPr>
                <m:t>f</m:t>
              </m:r>
            </m:e>
            <m:sup>
              <m:r>
                <w:rPr>
                  <w:rFonts w:ascii="Cambria Math" w:hAnsi="Cambria Math"/>
                </w:rPr>
                <m:t>L</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jt</m:t>
              </m:r>
            </m:sub>
          </m:sSub>
          <m:r>
            <w:rPr>
              <w:rFonts w:ascii="Cambria Math" w:hAnsi="Cambria Math"/>
            </w:rPr>
            <m:t>,</m:t>
          </m:r>
          <m:sSubSup>
            <m:sSubSupPr>
              <m:ctrlPr>
                <w:rPr>
                  <w:rFonts w:ascii="Cambria Math" w:hAnsi="Cambria Math"/>
                </w:rPr>
              </m:ctrlPr>
            </m:sSubSupPr>
            <m:e>
              <m:r>
                <m:rPr>
                  <m:sty m:val="bi"/>
                </m:rPr>
                <w:rPr>
                  <w:rFonts w:ascii="Cambria Math" w:hAnsi="Cambria Math"/>
                </w:rPr>
                <m:t>t,</m:t>
              </m:r>
              <m:r>
                <m:rPr>
                  <m:sty m:val="b"/>
                </m:rPr>
                <w:rPr>
                  <w:rFonts w:ascii="Cambria Math" w:hAnsi="Cambria Math"/>
                </w:rPr>
                <m:t xml:space="preserve"> β</m:t>
              </m:r>
            </m:e>
            <m:sub>
              <m:r>
                <w:rPr>
                  <w:rFonts w:ascii="Cambria Math" w:hAnsi="Cambria Math"/>
                </w:rPr>
                <m:t>ij</m:t>
              </m:r>
            </m:sub>
            <m:sup>
              <m:r>
                <w:rPr>
                  <w:rFonts w:ascii="Cambria Math" w:hAnsi="Cambria Math"/>
                </w:rPr>
                <m:t>L</m:t>
              </m:r>
            </m:sup>
          </m:sSubSup>
          <m:r>
            <w:rPr>
              <w:rFonts w:ascii="Cambria Math" w:hAnsi="Cambria Math"/>
            </w:rPr>
            <m:t>)  (2)</m:t>
          </m:r>
        </m:oMath>
      </m:oMathPara>
    </w:p>
    <w:p w14:paraId="34192C6F" w14:textId="77777777" w:rsidR="00DB533E" w:rsidRDefault="00DB533E" w:rsidP="00DB533E">
      <w:pPr>
        <w:pStyle w:val="BodyText1"/>
      </w:pPr>
      <w:r>
        <w:t xml:space="preserve">The exception to this is cotton, where there is insufficient sample to estimate land use functions (because cotton only appeared in the sMDB in 2010–11). To address this, a single function is estimated for the total cotton and rice irrigated area. Individual areas for these activities are then based on the observed historical proportions of rice to cotton in each region. </w:t>
      </w:r>
    </w:p>
    <w:p w14:paraId="51206FEA" w14:textId="77777777" w:rsidR="00DB533E" w:rsidRDefault="00DB533E" w:rsidP="00611BB3">
      <w:pPr>
        <w:pStyle w:val="BodyText"/>
      </w:pPr>
    </w:p>
    <w:p w14:paraId="64723D3F" w14:textId="77777777" w:rsidR="00DB533E" w:rsidRDefault="00DB533E" w:rsidP="00611BB3">
      <w:pPr>
        <w:pStyle w:val="BodyText"/>
        <w:sectPr w:rsidR="00DB533E" w:rsidSect="007345C8">
          <w:footerReference w:type="default" r:id="rId21"/>
          <w:pgSz w:w="11906" w:h="16838"/>
          <w:pgMar w:top="1247" w:right="1418" w:bottom="1418" w:left="1418" w:header="510" w:footer="709" w:gutter="0"/>
          <w:pgNumType w:start="1"/>
          <w:cols w:space="708"/>
          <w:docGrid w:linePitch="360"/>
        </w:sectPr>
      </w:pPr>
    </w:p>
    <w:p w14:paraId="57F9ADE1" w14:textId="77777777" w:rsidR="00DB533E" w:rsidRDefault="00DB533E" w:rsidP="00DB533E">
      <w:pPr>
        <w:pStyle w:val="Caption"/>
      </w:pPr>
      <w:bookmarkStart w:id="24" w:name="_Toc505345909"/>
      <w:r>
        <w:lastRenderedPageBreak/>
        <w:t xml:space="preserve">Figure </w:t>
      </w:r>
      <w:fldSimple w:instr=" SEQ Figure \* ARABIC ">
        <w:r w:rsidR="00F709AB">
          <w:rPr>
            <w:noProof/>
          </w:rPr>
          <w:t>2</w:t>
        </w:r>
      </w:fldSimple>
      <w:r>
        <w:t xml:space="preserve"> Modelling framework</w:t>
      </w:r>
      <w:bookmarkEnd w:id="24"/>
    </w:p>
    <w:p w14:paraId="75622488" w14:textId="147AF435" w:rsidR="00DB533E" w:rsidRDefault="00DB533E" w:rsidP="00611BB3">
      <w:pPr>
        <w:pStyle w:val="BodyText"/>
      </w:pPr>
      <w:r w:rsidRPr="00DB533E">
        <w:rPr>
          <w:noProof/>
          <w:lang w:eastAsia="en-AU"/>
        </w:rPr>
        <w:drawing>
          <wp:inline distT="0" distB="0" distL="0" distR="0" wp14:anchorId="7A3EEB9F" wp14:editId="01FAFAFA">
            <wp:extent cx="8807450" cy="50723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07450" cy="5072380"/>
                    </a:xfrm>
                    <a:prstGeom prst="rect">
                      <a:avLst/>
                    </a:prstGeom>
                    <a:noFill/>
                    <a:ln>
                      <a:noFill/>
                    </a:ln>
                  </pic:spPr>
                </pic:pic>
              </a:graphicData>
            </a:graphic>
          </wp:inline>
        </w:drawing>
      </w:r>
    </w:p>
    <w:p w14:paraId="0DA4808B" w14:textId="77777777" w:rsidR="00DB533E" w:rsidRDefault="00DB533E" w:rsidP="00611BB3">
      <w:pPr>
        <w:pStyle w:val="BodyText"/>
      </w:pPr>
    </w:p>
    <w:p w14:paraId="7AE40220" w14:textId="77777777" w:rsidR="00DB533E" w:rsidRDefault="00DB533E" w:rsidP="00611BB3">
      <w:pPr>
        <w:pStyle w:val="BodyText"/>
        <w:sectPr w:rsidR="00DB533E" w:rsidSect="003772F4">
          <w:footerReference w:type="default" r:id="rId23"/>
          <w:pgSz w:w="16838" w:h="11906" w:orient="landscape"/>
          <w:pgMar w:top="1418" w:right="1247" w:bottom="1418" w:left="1418" w:header="510" w:footer="709" w:gutter="0"/>
          <w:cols w:space="708"/>
          <w:docGrid w:linePitch="360"/>
        </w:sectPr>
      </w:pPr>
    </w:p>
    <w:p w14:paraId="1651F65B" w14:textId="77777777" w:rsidR="00786188" w:rsidRDefault="00786188" w:rsidP="00786188">
      <w:pPr>
        <w:pStyle w:val="Heading3"/>
      </w:pPr>
      <w:r>
        <w:lastRenderedPageBreak/>
        <w:t>Water application rate</w:t>
      </w:r>
    </w:p>
    <w:p w14:paraId="6164C012" w14:textId="6AD5B2E2" w:rsidR="00754261" w:rsidRDefault="00611BB3" w:rsidP="00754261">
      <w:pPr>
        <w:pStyle w:val="BodyText1"/>
      </w:pPr>
      <w:r>
        <w:t xml:space="preserve">The water application rate is </w:t>
      </w:r>
      <w:r w:rsidR="00754261">
        <w:t>defined</w:t>
      </w:r>
      <w:r>
        <w:t xml:space="preserve"> </w:t>
      </w:r>
      <w:r w:rsidR="00D55DCD">
        <w:t>for each irrigation activity as a function of the water allocation pric</w:t>
      </w:r>
      <w:r w:rsidR="00754261">
        <w:t>e, commodity price and rainfall</w:t>
      </w:r>
      <w:r w:rsidR="00786188">
        <w:t xml:space="preserve"> (equation 3)</w:t>
      </w:r>
      <w:r w:rsidR="00841DBB">
        <w:t>,</w:t>
      </w:r>
      <w:r w:rsidR="00786188">
        <w:t xml:space="preserve"> where</w:t>
      </w:r>
      <w:r w:rsidR="00754261">
        <w:t xml:space="preserve"> </w:t>
      </w:r>
      <m:oMath>
        <m:sSubSup>
          <m:sSubSupPr>
            <m:ctrlPr>
              <w:rPr>
                <w:rFonts w:ascii="Cambria Math" w:hAnsi="Cambria Math"/>
              </w:rPr>
            </m:ctrlPr>
          </m:sSubSupPr>
          <m:e>
            <m:r>
              <m:rPr>
                <m:sty m:val="b"/>
              </m:rPr>
              <w:rPr>
                <w:rFonts w:ascii="Cambria Math" w:hAnsi="Cambria Math"/>
              </w:rPr>
              <m:t>β</m:t>
            </m:r>
          </m:e>
          <m:sub>
            <m:r>
              <w:rPr>
                <w:rFonts w:ascii="Cambria Math" w:hAnsi="Cambria Math"/>
              </w:rPr>
              <m:t>ij</m:t>
            </m:r>
          </m:sub>
          <m:sup>
            <m:r>
              <w:rPr>
                <w:rFonts w:ascii="Cambria Math" w:hAnsi="Cambria Math"/>
              </w:rPr>
              <m:t>W</m:t>
            </m:r>
          </m:sup>
        </m:sSubSup>
      </m:oMath>
      <w:r w:rsidR="00754261">
        <w:t xml:space="preserve"> are parameters </w:t>
      </w:r>
      <w:r w:rsidR="00786188">
        <w:t>to be</w:t>
      </w:r>
      <w:r w:rsidR="00754261">
        <w:t xml:space="preserve"> estimated.</w:t>
      </w:r>
    </w:p>
    <w:p w14:paraId="71296986" w14:textId="1F8980FB" w:rsidR="00D55DCD" w:rsidRPr="00D55DCD" w:rsidRDefault="00220589" w:rsidP="00E52B2B">
      <w:pPr>
        <w:pStyle w:val="BodyText1"/>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ijt</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ijt</m:t>
              </m:r>
            </m:sub>
          </m:sSub>
          <m:r>
            <w:rPr>
              <w:rFonts w:ascii="Cambria Math" w:hAnsi="Cambria Math"/>
            </w:rPr>
            <m:t>=</m:t>
          </m:r>
          <m:sSup>
            <m:sSupPr>
              <m:ctrlPr>
                <w:rPr>
                  <w:rFonts w:ascii="Cambria Math" w:hAnsi="Cambria Math"/>
                </w:rPr>
              </m:ctrlPr>
            </m:sSupPr>
            <m:e>
              <m:r>
                <w:rPr>
                  <w:rFonts w:ascii="Cambria Math" w:hAnsi="Cambria Math"/>
                </w:rPr>
                <m:t>f</m:t>
              </m:r>
            </m:e>
            <m:sup>
              <m:r>
                <w:rPr>
                  <w:rFonts w:ascii="Cambria Math" w:hAnsi="Cambria Math"/>
                </w:rPr>
                <m:t>W</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jt</m:t>
              </m:r>
            </m:sub>
          </m:sSub>
          <m:r>
            <w:rPr>
              <w:rFonts w:ascii="Cambria Math" w:hAnsi="Cambria Math"/>
            </w:rPr>
            <m:t>,</m:t>
          </m:r>
          <m:sSubSup>
            <m:sSubSupPr>
              <m:ctrlPr>
                <w:rPr>
                  <w:rFonts w:ascii="Cambria Math" w:hAnsi="Cambria Math"/>
                </w:rPr>
              </m:ctrlPr>
            </m:sSubSupPr>
            <m:e>
              <m:r>
                <m:rPr>
                  <m:sty m:val="bi"/>
                </m:rPr>
                <w:rPr>
                  <w:rFonts w:ascii="Cambria Math" w:hAnsi="Cambria Math"/>
                </w:rPr>
                <m:t>t,</m:t>
              </m:r>
              <m:r>
                <m:rPr>
                  <m:sty m:val="b"/>
                </m:rPr>
                <w:rPr>
                  <w:rFonts w:ascii="Cambria Math" w:hAnsi="Cambria Math"/>
                </w:rPr>
                <m:t xml:space="preserve"> β</m:t>
              </m:r>
            </m:e>
            <m:sub>
              <m:r>
                <w:rPr>
                  <w:rFonts w:ascii="Cambria Math" w:hAnsi="Cambria Math"/>
                </w:rPr>
                <m:t>ij</m:t>
              </m:r>
            </m:sub>
            <m:sup>
              <m:r>
                <w:rPr>
                  <w:rFonts w:ascii="Cambria Math" w:hAnsi="Cambria Math"/>
                </w:rPr>
                <m:t>W</m:t>
              </m:r>
            </m:sup>
          </m:sSubSup>
          <m:r>
            <w:rPr>
              <w:rFonts w:ascii="Cambria Math" w:hAnsi="Cambria Math"/>
            </w:rPr>
            <m:t>)  (3)</m:t>
          </m:r>
        </m:oMath>
      </m:oMathPara>
    </w:p>
    <w:p w14:paraId="5CC2249A" w14:textId="77777777" w:rsidR="00786188" w:rsidRDefault="00786188" w:rsidP="00786188">
      <w:pPr>
        <w:pStyle w:val="Heading3"/>
      </w:pPr>
      <w:r>
        <w:t>Irrigation water use</w:t>
      </w:r>
    </w:p>
    <w:p w14:paraId="1F030994" w14:textId="76D59043" w:rsidR="00F00E95" w:rsidRDefault="00F00E95" w:rsidP="00F00E95">
      <w:r>
        <w:t xml:space="preserve">Together the land use and water application functions </w:t>
      </w:r>
      <w:r w:rsidR="00754261">
        <w:t xml:space="preserve">(equation 2 and 3) </w:t>
      </w:r>
      <w:r>
        <w:t>defin</w:t>
      </w:r>
      <w:r w:rsidR="00754261">
        <w:t>e a water demand function (equation 4)</w:t>
      </w:r>
      <w:r w:rsidR="00841DBB">
        <w:t xml:space="preserve">, </w:t>
      </w:r>
      <w:r w:rsidR="00106A2D">
        <w:t>simulating</w:t>
      </w:r>
      <w:r w:rsidR="00841DBB">
        <w:t xml:space="preserve"> irrigation water use </w:t>
      </w:r>
      <w:r w:rsidR="00754261">
        <w:t xml:space="preserve">for irrigation activity </w:t>
      </w:r>
      <m:oMath>
        <m:r>
          <w:rPr>
            <w:rFonts w:ascii="Cambria Math" w:hAnsi="Cambria Math"/>
          </w:rPr>
          <m:t>j</m:t>
        </m:r>
      </m:oMath>
      <w:r w:rsidR="00754261">
        <w:t xml:space="preserve"> in region </w:t>
      </w:r>
      <m:oMath>
        <m:r>
          <w:rPr>
            <w:rFonts w:ascii="Cambria Math" w:hAnsi="Cambria Math"/>
          </w:rPr>
          <m:t>i</m:t>
        </m:r>
      </m:oMath>
      <w:r w:rsidR="00841DBB">
        <w:t xml:space="preserve"> in period </w:t>
      </w:r>
      <w:r w:rsidR="00841DBB">
        <w:rPr>
          <w:i/>
        </w:rPr>
        <w:t>t:</w:t>
      </w:r>
    </w:p>
    <w:p w14:paraId="5293403E" w14:textId="7925F093" w:rsidR="00F00E95" w:rsidRDefault="00220589" w:rsidP="00F00E95">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ijt</m:t>
              </m:r>
            </m:sub>
          </m:sSub>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W</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jt</m:t>
              </m:r>
            </m:sub>
          </m:sSub>
          <m:r>
            <w:rPr>
              <w:rFonts w:ascii="Cambria Math" w:hAnsi="Cambria Math"/>
            </w:rPr>
            <m:t>)  (4)</m:t>
          </m:r>
        </m:oMath>
      </m:oMathPara>
    </w:p>
    <w:p w14:paraId="76145D51" w14:textId="775B5951" w:rsidR="00754261" w:rsidRDefault="00754261" w:rsidP="00754261">
      <w:r>
        <w:t xml:space="preserve">For convenience, regional level </w:t>
      </w:r>
      <w:r w:rsidR="00E91B69">
        <w:t xml:space="preserve">total </w:t>
      </w:r>
      <w:r>
        <w:t>water demand functions can be defined as:</w:t>
      </w:r>
    </w:p>
    <w:p w14:paraId="064CE19E" w14:textId="3F8B3DF9" w:rsidR="00754261" w:rsidRDefault="00220589" w:rsidP="00754261">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nary>
            <m:naryPr>
              <m:chr m:val="∑"/>
              <m:limLoc m:val="undOvr"/>
              <m:subHide m:val="1"/>
              <m:ctrlPr>
                <w:rPr>
                  <w:rFonts w:ascii="Cambria Math" w:hAnsi="Cambria Math"/>
                </w:rPr>
              </m:ctrlPr>
            </m:naryPr>
            <m:sub/>
            <m:sup>
              <m:r>
                <w:rPr>
                  <w:rFonts w:ascii="Cambria Math" w:hAnsi="Cambria Math"/>
                </w:rPr>
                <m:t>j∈J</m:t>
              </m:r>
            </m:sup>
            <m:e>
              <m:sSup>
                <m:sSupPr>
                  <m:ctrlPr>
                    <w:rPr>
                      <w:rFonts w:ascii="Cambria Math" w:hAnsi="Cambria Math"/>
                    </w:rPr>
                  </m:ctrlPr>
                </m:sSupPr>
                <m:e>
                  <m:r>
                    <w:rPr>
                      <w:rFonts w:ascii="Cambria Math" w:hAnsi="Cambria Math"/>
                    </w:rPr>
                    <m:t>d</m:t>
                  </m:r>
                </m:e>
                <m:sup>
                  <m:r>
                    <w:rPr>
                      <w:rFonts w:ascii="Cambria Math" w:hAnsi="Cambria Math"/>
                    </w:rPr>
                    <m:t>W</m:t>
                  </m:r>
                </m:sup>
              </m:sSup>
            </m:e>
          </m:nary>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rPr>
                <m:t>it</m:t>
              </m:r>
            </m:sub>
          </m:sSub>
          <m:r>
            <w:rPr>
              <w:rFonts w:ascii="Cambria Math" w:hAnsi="Cambria Math"/>
            </w:rPr>
            <m:t>)</m:t>
          </m:r>
        </m:oMath>
      </m:oMathPara>
    </w:p>
    <w:bookmarkStart w:id="25" w:name="time"/>
    <w:bookmarkStart w:id="26" w:name="irrigation-activities"/>
    <w:bookmarkStart w:id="27" w:name="variables"/>
    <w:bookmarkStart w:id="28" w:name="trading-zone-region-and-industry-level-v"/>
    <w:bookmarkStart w:id="29" w:name="water-supply"/>
    <w:bookmarkStart w:id="30" w:name="irrigation-production-1"/>
    <w:bookmarkStart w:id="31" w:name="water-allocation-trade"/>
    <w:bookmarkStart w:id="32" w:name="water-entitlement-prices"/>
    <w:bookmarkEnd w:id="25"/>
    <w:bookmarkEnd w:id="26"/>
    <w:bookmarkEnd w:id="27"/>
    <w:bookmarkEnd w:id="28"/>
    <w:bookmarkEnd w:id="29"/>
    <w:bookmarkEnd w:id="30"/>
    <w:bookmarkEnd w:id="31"/>
    <w:bookmarkEnd w:id="32"/>
    <w:p w14:paraId="05FDD021" w14:textId="193BB7DE" w:rsidR="00DF61D7" w:rsidRPr="008F3D63" w:rsidRDefault="00220589" w:rsidP="00104BDD">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jt</m:t>
              </m:r>
            </m:sub>
          </m:sSub>
          <m:r>
            <w:rPr>
              <w:rFonts w:ascii="Cambria Math" w:hAnsi="Cambria Math"/>
            </w:rPr>
            <m:t>=</m:t>
          </m:r>
          <m:nary>
            <m:naryPr>
              <m:chr m:val="∑"/>
              <m:limLoc m:val="undOvr"/>
              <m:subHide m:val="1"/>
              <m:ctrlPr>
                <w:rPr>
                  <w:rFonts w:ascii="Cambria Math" w:hAnsi="Cambria Math"/>
                </w:rPr>
              </m:ctrlPr>
            </m:naryPr>
            <m:sub/>
            <m:sup>
              <m:r>
                <w:rPr>
                  <w:rFonts w:ascii="Cambria Math" w:hAnsi="Cambria Math"/>
                </w:rPr>
                <m:t>i∈I</m:t>
              </m:r>
            </m:sup>
            <m:e>
              <m:sSub>
                <m:sSubPr>
                  <m:ctrlPr>
                    <w:rPr>
                      <w:rFonts w:ascii="Cambria Math" w:hAnsi="Cambria Math"/>
                    </w:rPr>
                  </m:ctrlPr>
                </m:sSubPr>
                <m:e>
                  <m:r>
                    <w:rPr>
                      <w:rFonts w:ascii="Cambria Math" w:hAnsi="Cambria Math"/>
                    </w:rPr>
                    <m:t>W</m:t>
                  </m:r>
                </m:e>
                <m:sub>
                  <m:r>
                    <w:rPr>
                      <w:rFonts w:ascii="Cambria Math" w:hAnsi="Cambria Math"/>
                    </w:rPr>
                    <m:t>ijt</m:t>
                  </m:r>
                </m:sub>
              </m:sSub>
            </m:e>
          </m:nary>
        </m:oMath>
      </m:oMathPara>
    </w:p>
    <w:p w14:paraId="752624E7" w14:textId="77777777" w:rsidR="00173E15" w:rsidRDefault="003641B6" w:rsidP="007470BE">
      <w:pPr>
        <w:pStyle w:val="Heading2"/>
      </w:pPr>
      <w:bookmarkStart w:id="33" w:name="_Toc505345858"/>
      <w:r>
        <w:t>Water supply and demand balance</w:t>
      </w:r>
      <w:bookmarkEnd w:id="33"/>
    </w:p>
    <w:p w14:paraId="5362A47C" w14:textId="1D83FF30" w:rsidR="003641B6" w:rsidRDefault="003641B6" w:rsidP="003641B6">
      <w:pPr>
        <w:pStyle w:val="Heading3"/>
      </w:pPr>
      <w:r>
        <w:t xml:space="preserve">Other water </w:t>
      </w:r>
    </w:p>
    <w:p w14:paraId="4CE53122" w14:textId="6BE1952C" w:rsidR="00186EAB" w:rsidRPr="00186EAB" w:rsidRDefault="00186EAB" w:rsidP="003641B6">
      <w:r w:rsidRPr="00186EAB">
        <w:t xml:space="preserve">As discussed, there are a variety of reasons why estimates of historical water supply in each region </w:t>
      </w:r>
      <m:oMath>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oMath>
      <w:r w:rsidRPr="00186EAB">
        <w:t xml:space="preserve"> may differ from </w:t>
      </w:r>
      <w:r w:rsidR="006D7FB6">
        <w:t xml:space="preserve">total irrigation </w:t>
      </w:r>
      <w:r w:rsidRPr="00186EAB">
        <w:t xml:space="preserve">water </w:t>
      </w:r>
      <w:r w:rsidR="006D7FB6">
        <w:t>use</w:t>
      </w:r>
      <w:r w:rsidR="006D7FB6" w:rsidRPr="00186EAB">
        <w:t xml:space="preserve"> </w:t>
      </w:r>
      <m:oMath>
        <m:sSub>
          <m:sSubPr>
            <m:ctrlPr>
              <w:rPr>
                <w:rFonts w:ascii="Cambria Math" w:hAnsi="Cambria Math"/>
              </w:rPr>
            </m:ctrlPr>
          </m:sSubPr>
          <m:e>
            <m:r>
              <w:rPr>
                <w:rFonts w:ascii="Cambria Math" w:hAnsi="Cambria Math"/>
              </w:rPr>
              <m:t>W</m:t>
            </m:r>
          </m:e>
          <m:sub>
            <m:r>
              <w:rPr>
                <w:rFonts w:ascii="Cambria Math" w:hAnsi="Cambria Math"/>
              </w:rPr>
              <m:t>it</m:t>
            </m:r>
          </m:sub>
        </m:sSub>
      </m:oMath>
      <w:r w:rsidRPr="00186EAB">
        <w:t>.</w:t>
      </w:r>
    </w:p>
    <w:p w14:paraId="6BD55331" w14:textId="5A1038FA" w:rsidR="003641B6" w:rsidRPr="007470BE" w:rsidRDefault="003641B6" w:rsidP="003641B6">
      <w:r w:rsidRPr="00186EAB">
        <w:t xml:space="preserve">To address this we define the variable </w:t>
      </w:r>
      <m:oMath>
        <m:sSub>
          <m:sSubPr>
            <m:ctrlPr>
              <w:rPr>
                <w:rFonts w:ascii="Cambria Math" w:hAnsi="Cambria Math"/>
              </w:rPr>
            </m:ctrlPr>
          </m:sSubPr>
          <m:e>
            <m:r>
              <w:rPr>
                <w:rFonts w:ascii="Cambria Math" w:hAnsi="Cambria Math"/>
              </w:rPr>
              <m:t>O</m:t>
            </m:r>
          </m:e>
          <m:sub>
            <m:r>
              <w:rPr>
                <w:rFonts w:ascii="Cambria Math" w:hAnsi="Cambria Math"/>
              </w:rPr>
              <m:t>it</m:t>
            </m:r>
          </m:sub>
        </m:sSub>
      </m:oMath>
      <w:r w:rsidRPr="00186EAB">
        <w:t xml:space="preserve"> as </w:t>
      </w:r>
      <w:r w:rsidR="006D7FB6">
        <w:t xml:space="preserve">net </w:t>
      </w:r>
      <w:r w:rsidRPr="00186EAB">
        <w:t>‘</w:t>
      </w:r>
      <w:r w:rsidR="00C35C10">
        <w:t>o</w:t>
      </w:r>
      <w:r w:rsidRPr="00186EAB">
        <w:t>ther water</w:t>
      </w:r>
      <w:r w:rsidR="006D7FB6">
        <w:t>‘</w:t>
      </w:r>
      <w:r w:rsidR="00106A2D">
        <w:t xml:space="preserve"> </w:t>
      </w:r>
      <w:r w:rsidR="00C35C10">
        <w:t xml:space="preserve">to </w:t>
      </w:r>
      <w:r w:rsidR="00106A2D">
        <w:t xml:space="preserve">take into account errors or differences between irrigation water use and allocation water supply: </w:t>
      </w:r>
    </w:p>
    <w:p w14:paraId="71E5660D" w14:textId="77777777" w:rsidR="003641B6" w:rsidRPr="00433CAA" w:rsidRDefault="00220589" w:rsidP="003641B6">
      <w:pPr>
        <w:pStyle w:val="BodyText"/>
        <w:spacing w:after="200"/>
      </w:pPr>
      <m:oMathPara>
        <m:oMathParaPr>
          <m:jc m:val="center"/>
        </m:oMathParaPr>
        <m:oMath>
          <m:sSub>
            <m:sSubPr>
              <m:ctrlPr>
                <w:rPr>
                  <w:rFonts w:ascii="Cambria Math" w:hAnsi="Cambria Math"/>
                </w:rPr>
              </m:ctrlPr>
            </m:sSubPr>
            <m:e>
              <m:r>
                <w:rPr>
                  <w:rFonts w:ascii="Cambria Math" w:hAnsi="Cambria Math"/>
                </w:rPr>
                <m:t>O</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r>
            <w:rPr>
              <w:rFonts w:ascii="Cambria Math" w:hAnsi="Cambria Math"/>
            </w:rPr>
            <m:t>)  </m:t>
          </m:r>
        </m:oMath>
      </m:oMathPara>
    </w:p>
    <w:p w14:paraId="4BADAD64" w14:textId="3ED539FB" w:rsidR="006D7FB6" w:rsidRDefault="006D7FB6" w:rsidP="003641B6">
      <w:pPr>
        <w:pStyle w:val="BodyText1"/>
      </w:pPr>
      <w:r>
        <w:t xml:space="preserve">In practice, </w:t>
      </w:r>
      <m:oMath>
        <m:sSub>
          <m:sSubPr>
            <m:ctrlPr>
              <w:rPr>
                <w:rFonts w:ascii="Cambria Math" w:hAnsi="Cambria Math"/>
              </w:rPr>
            </m:ctrlPr>
          </m:sSubPr>
          <m:e>
            <m:r>
              <w:rPr>
                <w:rFonts w:ascii="Cambria Math" w:hAnsi="Cambria Math"/>
              </w:rPr>
              <m:t>O</m:t>
            </m:r>
          </m:e>
          <m:sub>
            <m:r>
              <w:rPr>
                <w:rFonts w:ascii="Cambria Math" w:hAnsi="Cambria Math"/>
              </w:rPr>
              <m:t>it</m:t>
            </m:r>
          </m:sub>
        </m:sSub>
      </m:oMath>
      <w:r>
        <w:t xml:space="preserve"> can be either positive or negative. Positive values reflect net additional water supply (i.e., from groundwater or unregulated sources) while negative values reflect net additional water use (i.e., non-irrigation water use or forfeited allocations).</w:t>
      </w:r>
    </w:p>
    <w:p w14:paraId="0888E641" w14:textId="2F48167F" w:rsidR="003641B6" w:rsidRDefault="003641B6" w:rsidP="003641B6">
      <w:pPr>
        <w:pStyle w:val="BodyText1"/>
      </w:pPr>
      <w:r>
        <w:t xml:space="preserve">Within the model other water use in region </w:t>
      </w:r>
      <m:oMath>
        <m:r>
          <w:rPr>
            <w:rFonts w:ascii="Cambria Math" w:hAnsi="Cambria Math"/>
          </w:rPr>
          <m:t>i</m:t>
        </m:r>
      </m:oMath>
      <w:r>
        <w:t xml:space="preserve"> is defined as a function of the water allocation price and rainfall (</w:t>
      </w:r>
      <w:r w:rsidR="00123963">
        <w:t>assuming</w:t>
      </w:r>
      <w:r>
        <w:t xml:space="preserve"> that other water </w:t>
      </w:r>
      <w:r w:rsidR="00123963">
        <w:t>is</w:t>
      </w:r>
      <w:r>
        <w:t xml:space="preserve"> a substitute for allocation water).</w:t>
      </w:r>
    </w:p>
    <w:p w14:paraId="26FFDEC1" w14:textId="0D48CC04" w:rsidR="007559C7" w:rsidRDefault="00220589" w:rsidP="00AE77A4">
      <w:pPr>
        <w:pStyle w:val="BodyText1"/>
        <w:jc w:val="center"/>
      </w:pPr>
      <m:oMathPara>
        <m:oMath>
          <m:sSub>
            <m:sSubPr>
              <m:ctrlPr>
                <w:rPr>
                  <w:rFonts w:ascii="Cambria Math" w:hAnsi="Cambria Math"/>
                </w:rPr>
              </m:ctrlPr>
            </m:sSubPr>
            <m:e>
              <m:r>
                <w:rPr>
                  <w:rFonts w:ascii="Cambria Math" w:hAnsi="Cambria Math"/>
                </w:rPr>
                <m:t>O</m:t>
              </m:r>
            </m:e>
            <m:sub>
              <m:r>
                <w:rPr>
                  <w:rFonts w:ascii="Cambria Math" w:hAnsi="Cambria Math"/>
                </w:rPr>
                <m:t>it</m:t>
              </m:r>
            </m:sub>
          </m:sSub>
          <m:r>
            <w:rPr>
              <w:rFonts w:ascii="Cambria Math" w:hAnsi="Cambria Math"/>
            </w:rPr>
            <m:t>=</m:t>
          </m:r>
          <m:sSup>
            <m:sSupPr>
              <m:ctrlPr>
                <w:rPr>
                  <w:rFonts w:ascii="Cambria Math" w:hAnsi="Cambria Math"/>
                </w:rPr>
              </m:ctrlPr>
            </m:sSupPr>
            <m:e>
              <m:r>
                <w:rPr>
                  <w:rFonts w:ascii="Cambria Math" w:hAnsi="Cambria Math"/>
                </w:rPr>
                <m:t>f</m:t>
              </m:r>
            </m:e>
            <m:sup>
              <m:r>
                <w:rPr>
                  <w:rFonts w:ascii="Cambria Math" w:hAnsi="Cambria Math"/>
                </w:rPr>
                <m:t>O</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Sup>
            <m:sSubSupPr>
              <m:ctrlPr>
                <w:rPr>
                  <w:rFonts w:ascii="Cambria Math" w:hAnsi="Cambria Math"/>
                </w:rPr>
              </m:ctrlPr>
            </m:sSubSupPr>
            <m:e>
              <m:r>
                <m:rPr>
                  <m:sty m:val="b"/>
                </m:rPr>
                <w:rPr>
                  <w:rFonts w:ascii="Cambria Math" w:hAnsi="Cambria Math"/>
                </w:rPr>
                <m:t>β</m:t>
              </m:r>
            </m:e>
            <m:sub>
              <m:r>
                <w:rPr>
                  <w:rFonts w:ascii="Cambria Math" w:hAnsi="Cambria Math"/>
                </w:rPr>
                <m:t>i</m:t>
              </m:r>
            </m:sub>
            <m:sup>
              <m:r>
                <w:rPr>
                  <w:rFonts w:ascii="Cambria Math" w:hAnsi="Cambria Math"/>
                </w:rPr>
                <m:t>O</m:t>
              </m:r>
            </m:sup>
          </m:sSubSup>
          <m:r>
            <w:rPr>
              <w:rFonts w:ascii="Cambria Math" w:hAnsi="Cambria Math"/>
            </w:rPr>
            <m:t>)  (5)</m:t>
          </m:r>
        </m:oMath>
      </m:oMathPara>
    </w:p>
    <w:p w14:paraId="411149EF" w14:textId="77777777" w:rsidR="007470BE" w:rsidRDefault="007470BE" w:rsidP="007470BE">
      <w:pPr>
        <w:pStyle w:val="Heading3"/>
      </w:pPr>
      <w:r>
        <w:t>Water supply constraint</w:t>
      </w:r>
    </w:p>
    <w:p w14:paraId="4F4E3C07" w14:textId="7B93D230" w:rsidR="007470BE" w:rsidRDefault="003641B6" w:rsidP="007470BE">
      <w:r>
        <w:t>F</w:t>
      </w:r>
      <w:r w:rsidR="007470BE">
        <w:t xml:space="preserve">or each region </w:t>
      </w:r>
      <m:oMath>
        <m:r>
          <w:rPr>
            <w:rFonts w:ascii="Cambria Math" w:hAnsi="Cambria Math"/>
          </w:rPr>
          <m:t>i</m:t>
        </m:r>
      </m:oMath>
      <w:r w:rsidR="007470BE">
        <w:t xml:space="preserve"> and time period </w:t>
      </w:r>
      <m:oMath>
        <m:r>
          <w:rPr>
            <w:rFonts w:ascii="Cambria Math" w:hAnsi="Cambria Math"/>
          </w:rPr>
          <m:t>t</m:t>
        </m:r>
      </m:oMath>
      <w:r w:rsidR="007470BE">
        <w:t xml:space="preserve">, total water demand must </w:t>
      </w:r>
      <w:r>
        <w:t xml:space="preserve">then </w:t>
      </w:r>
      <w:r w:rsidR="007470BE">
        <w:t>equal the sum of allocation water supply, net trade for the region and other water use. This is also referred to as the water supply co</w:t>
      </w:r>
      <w:r w:rsidR="0026472E">
        <w:t>nstraint</w:t>
      </w:r>
      <w:r w:rsidR="007470BE">
        <w:t>:</w:t>
      </w:r>
    </w:p>
    <w:p w14:paraId="0761A918" w14:textId="77777777" w:rsidR="007470BE" w:rsidRPr="00E150C0" w:rsidRDefault="00220589" w:rsidP="007470BE">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it</m:t>
              </m:r>
            </m:sub>
          </m:sSub>
          <m:r>
            <w:rPr>
              <w:rFonts w:ascii="Cambria Math" w:hAnsi="Cambria Math"/>
            </w:rPr>
            <m:t>  (6)</m:t>
          </m:r>
        </m:oMath>
      </m:oMathPara>
    </w:p>
    <w:p w14:paraId="54416E5F" w14:textId="77777777" w:rsidR="003641B6" w:rsidRDefault="003641B6" w:rsidP="007A521C">
      <w:pPr>
        <w:pStyle w:val="Heading2"/>
      </w:pPr>
      <w:bookmarkStart w:id="34" w:name="_Toc505345859"/>
      <w:r>
        <w:lastRenderedPageBreak/>
        <w:t xml:space="preserve">Water trading </w:t>
      </w:r>
      <w:r w:rsidR="007A521C">
        <w:t>constraints</w:t>
      </w:r>
      <w:bookmarkEnd w:id="34"/>
    </w:p>
    <w:p w14:paraId="6D340CF3" w14:textId="0416F20B" w:rsidR="007A521C" w:rsidRDefault="007A521C" w:rsidP="007A521C">
      <w:pPr>
        <w:pStyle w:val="BodyText1"/>
      </w:pPr>
      <w:r>
        <w:t xml:space="preserve">The model has been designed to take into account </w:t>
      </w:r>
      <w:r w:rsidRPr="009B7A5A">
        <w:t>key historical r</w:t>
      </w:r>
      <w:r>
        <w:t>estrictions on inter-regional water trade in the sMDB including:</w:t>
      </w:r>
    </w:p>
    <w:p w14:paraId="00E1A956" w14:textId="77777777" w:rsidR="007A521C" w:rsidRPr="009B7A5A" w:rsidRDefault="007A521C" w:rsidP="00C67DD0">
      <w:pPr>
        <w:pStyle w:val="Bulletlist-level1"/>
        <w:numPr>
          <w:ilvl w:val="0"/>
          <w:numId w:val="16"/>
        </w:numPr>
      </w:pPr>
      <w:r w:rsidRPr="009B7A5A">
        <w:t>Murrumbidgee import and export limits</w:t>
      </w:r>
    </w:p>
    <w:p w14:paraId="6C2A00D0" w14:textId="77777777" w:rsidR="007A521C" w:rsidRPr="009B7A5A" w:rsidRDefault="007A521C" w:rsidP="00C67DD0">
      <w:pPr>
        <w:pStyle w:val="Bulletlist-level1"/>
        <w:numPr>
          <w:ilvl w:val="0"/>
          <w:numId w:val="16"/>
        </w:numPr>
      </w:pPr>
      <w:r w:rsidRPr="009B7A5A">
        <w:t>Northern Victoria import and export limits</w:t>
      </w:r>
    </w:p>
    <w:p w14:paraId="226E0ABA" w14:textId="77777777" w:rsidR="007A521C" w:rsidRDefault="007A521C" w:rsidP="00C67DD0">
      <w:pPr>
        <w:pStyle w:val="Bulletlist-level1"/>
        <w:numPr>
          <w:ilvl w:val="0"/>
          <w:numId w:val="16"/>
        </w:numPr>
      </w:pPr>
      <w:r w:rsidRPr="009B7A5A">
        <w:t>Lower-Darling trade limits enforced during drought conditions</w:t>
      </w:r>
    </w:p>
    <w:p w14:paraId="729E3472" w14:textId="77777777" w:rsidR="007A521C" w:rsidRDefault="007A521C" w:rsidP="00C67DD0">
      <w:pPr>
        <w:pStyle w:val="Bulletlist-level1"/>
        <w:numPr>
          <w:ilvl w:val="0"/>
          <w:numId w:val="16"/>
        </w:numPr>
      </w:pPr>
      <w:r w:rsidRPr="009B7A5A">
        <w:t>Barmah choke trade limits</w:t>
      </w:r>
      <w:r>
        <w:t>.</w:t>
      </w:r>
    </w:p>
    <w:p w14:paraId="3A4EE011" w14:textId="1A4CB61B" w:rsidR="007A521C" w:rsidRDefault="007A521C" w:rsidP="007A521C">
      <w:pPr>
        <w:pStyle w:val="BodyText1"/>
      </w:pPr>
      <w:r>
        <w:t xml:space="preserve">In order to represent </w:t>
      </w:r>
      <w:r w:rsidR="0026472E">
        <w:t>these limits, 5</w:t>
      </w:r>
      <w:r>
        <w:t xml:space="preserve"> trading zones are defined </w:t>
      </w:r>
      <w:r w:rsidR="00EE68F9">
        <w:t>in the model (</w:t>
      </w:r>
      <w:r>
        <w:fldChar w:fldCharType="begin"/>
      </w:r>
      <w:r>
        <w:instrText xml:space="preserve"> REF _Ref486597607 \h </w:instrText>
      </w:r>
      <w:r>
        <w:fldChar w:fldCharType="separate"/>
      </w:r>
      <w:r w:rsidR="00F709AB">
        <w:t xml:space="preserve">Table </w:t>
      </w:r>
      <w:r w:rsidR="00F709AB">
        <w:rPr>
          <w:noProof/>
        </w:rPr>
        <w:t>4</w:t>
      </w:r>
      <w:r>
        <w:fldChar w:fldCharType="end"/>
      </w:r>
      <w:r w:rsidR="00EE68F9">
        <w:t>)</w:t>
      </w:r>
      <w:r>
        <w:t>. Th</w:t>
      </w:r>
      <w:r w:rsidR="0026472E">
        <w:t xml:space="preserve">ese trading zones are aggregations of </w:t>
      </w:r>
      <w:r>
        <w:t>regions</w:t>
      </w:r>
      <w:r w:rsidR="0026472E">
        <w:t>, where</w:t>
      </w:r>
      <w:r>
        <w:t xml:space="preserve"> each region within a trading zone can freely trade with all other regions in the same trading zone. </w:t>
      </w:r>
    </w:p>
    <w:p w14:paraId="7EF6C051" w14:textId="77777777" w:rsidR="007A521C" w:rsidRDefault="007A521C" w:rsidP="007A521C">
      <w:pPr>
        <w:pStyle w:val="Caption"/>
      </w:pPr>
      <w:bookmarkStart w:id="35" w:name="_Ref486597607"/>
      <w:bookmarkStart w:id="36" w:name="_Toc491356902"/>
      <w:bookmarkStart w:id="37" w:name="_Toc505345887"/>
      <w:r>
        <w:t xml:space="preserve">Table </w:t>
      </w:r>
      <w:fldSimple w:instr=" SEQ Table \* ARABIC ">
        <w:r w:rsidR="00F709AB">
          <w:rPr>
            <w:noProof/>
          </w:rPr>
          <w:t>4</w:t>
        </w:r>
      </w:fldSimple>
      <w:bookmarkEnd w:id="35"/>
      <w:r>
        <w:rPr>
          <w:noProof/>
        </w:rPr>
        <w:t xml:space="preserve"> </w:t>
      </w:r>
      <w:r>
        <w:t>Trading zones, used for simulating inter-regional trade</w:t>
      </w:r>
      <w:bookmarkEnd w:id="36"/>
      <w:bookmarkEnd w:id="37"/>
    </w:p>
    <w:tbl>
      <w:tblPr>
        <w:tblW w:w="2266" w:type="pct"/>
        <w:tblLook w:val="07E0" w:firstRow="1" w:lastRow="1" w:firstColumn="1" w:lastColumn="1" w:noHBand="1" w:noVBand="1"/>
      </w:tblPr>
      <w:tblGrid>
        <w:gridCol w:w="535"/>
        <w:gridCol w:w="3576"/>
      </w:tblGrid>
      <w:tr w:rsidR="007A521C" w14:paraId="065C2A03" w14:textId="77777777" w:rsidTr="000633DC">
        <w:tc>
          <w:tcPr>
            <w:tcW w:w="0" w:type="auto"/>
            <w:tcBorders>
              <w:top w:val="single" w:sz="4" w:space="0" w:color="auto"/>
              <w:bottom w:val="single" w:sz="4" w:space="0" w:color="auto"/>
            </w:tcBorders>
            <w:vAlign w:val="bottom"/>
          </w:tcPr>
          <w:p w14:paraId="5B3CE2F4" w14:textId="77777777" w:rsidR="007A521C" w:rsidRPr="00F00E95" w:rsidRDefault="007A521C" w:rsidP="000633DC">
            <w:pPr>
              <w:pStyle w:val="Tabletext"/>
              <w:rPr>
                <w:rStyle w:val="Bold"/>
              </w:rPr>
            </w:pPr>
            <m:oMathPara>
              <m:oMath>
                <m:r>
                  <w:rPr>
                    <w:rStyle w:val="Bold"/>
                    <w:rFonts w:ascii="Cambria Math" w:hAnsi="Cambria Math"/>
                  </w:rPr>
                  <m:t>k</m:t>
                </m:r>
              </m:oMath>
            </m:oMathPara>
          </w:p>
        </w:tc>
        <w:tc>
          <w:tcPr>
            <w:tcW w:w="4349" w:type="pct"/>
            <w:tcBorders>
              <w:top w:val="single" w:sz="4" w:space="0" w:color="auto"/>
              <w:bottom w:val="single" w:sz="4" w:space="0" w:color="auto"/>
            </w:tcBorders>
            <w:vAlign w:val="bottom"/>
          </w:tcPr>
          <w:p w14:paraId="49DB8A79" w14:textId="77777777" w:rsidR="007A521C" w:rsidRPr="00F00E95" w:rsidRDefault="007A521C" w:rsidP="000633DC">
            <w:pPr>
              <w:pStyle w:val="Tabletext"/>
              <w:rPr>
                <w:rStyle w:val="Bold"/>
              </w:rPr>
            </w:pPr>
            <w:r w:rsidRPr="00F00E95">
              <w:rPr>
                <w:rStyle w:val="Bold"/>
              </w:rPr>
              <w:t>Trading zones</w:t>
            </w:r>
          </w:p>
        </w:tc>
      </w:tr>
      <w:tr w:rsidR="007A521C" w14:paraId="25FC41A3" w14:textId="77777777" w:rsidTr="000633DC">
        <w:tc>
          <w:tcPr>
            <w:tcW w:w="0" w:type="auto"/>
            <w:tcBorders>
              <w:top w:val="single" w:sz="4" w:space="0" w:color="auto"/>
            </w:tcBorders>
          </w:tcPr>
          <w:p w14:paraId="18C477B4" w14:textId="77777777" w:rsidR="007A521C" w:rsidRDefault="007A521C" w:rsidP="000633DC">
            <w:pPr>
              <w:pStyle w:val="Tabletext"/>
            </w:pPr>
            <w:r>
              <w:t>1</w:t>
            </w:r>
          </w:p>
        </w:tc>
        <w:tc>
          <w:tcPr>
            <w:tcW w:w="4349" w:type="pct"/>
            <w:tcBorders>
              <w:top w:val="single" w:sz="4" w:space="0" w:color="auto"/>
            </w:tcBorders>
          </w:tcPr>
          <w:p w14:paraId="4430FA39" w14:textId="77777777" w:rsidR="007A521C" w:rsidRDefault="007A521C" w:rsidP="000633DC">
            <w:pPr>
              <w:pStyle w:val="Tabletext"/>
            </w:pPr>
            <w:r>
              <w:t xml:space="preserve">Murray above Barmah, </w:t>
            </w:r>
            <m:oMath>
              <m:sSub>
                <m:sSubPr>
                  <m:ctrlPr>
                    <w:rPr>
                      <w:rFonts w:ascii="Cambria Math" w:hAnsi="Cambria Math"/>
                    </w:rPr>
                  </m:ctrlPr>
                </m:sSubPr>
                <m:e>
                  <m:r>
                    <w:rPr>
                      <w:rFonts w:ascii="Cambria Math" w:hAnsi="Cambria Math"/>
                    </w:rPr>
                    <m:t>I</m:t>
                  </m:r>
                </m:e>
                <m:sub>
                  <m:r>
                    <m:rPr>
                      <m:sty m:val="p"/>
                    </m:rPr>
                    <w:rPr>
                      <w:rFonts w:ascii="Cambria Math" w:hAnsi="Cambria Math"/>
                    </w:rPr>
                    <m:t>1</m:t>
                  </m:r>
                </m:sub>
              </m:sSub>
              <m:r>
                <m:rPr>
                  <m:sty m:val="p"/>
                </m:rPr>
                <w:rPr>
                  <w:rFonts w:ascii="Cambria Math" w:hAnsi="Cambria Math"/>
                </w:rPr>
                <m:t>={1,2}</m:t>
              </m:r>
            </m:oMath>
          </w:p>
        </w:tc>
      </w:tr>
      <w:tr w:rsidR="007A521C" w14:paraId="0C3A0A59" w14:textId="77777777" w:rsidTr="000633DC">
        <w:tc>
          <w:tcPr>
            <w:tcW w:w="0" w:type="auto"/>
          </w:tcPr>
          <w:p w14:paraId="596ED764" w14:textId="77777777" w:rsidR="007A521C" w:rsidRDefault="007A521C" w:rsidP="000633DC">
            <w:pPr>
              <w:pStyle w:val="Tabletext"/>
            </w:pPr>
            <w:r>
              <w:t>2</w:t>
            </w:r>
          </w:p>
        </w:tc>
        <w:tc>
          <w:tcPr>
            <w:tcW w:w="4349" w:type="pct"/>
          </w:tcPr>
          <w:p w14:paraId="0C49F49E" w14:textId="77777777" w:rsidR="007A521C" w:rsidRDefault="007A521C" w:rsidP="000633DC">
            <w:pPr>
              <w:pStyle w:val="Tabletext"/>
            </w:pPr>
            <w:r>
              <w:t xml:space="preserve">Northern VIC, </w:t>
            </w:r>
            <m:oMath>
              <m:sSub>
                <m:sSubPr>
                  <m:ctrlPr>
                    <w:rPr>
                      <w:rFonts w:ascii="Cambria Math" w:hAnsi="Cambria Math"/>
                    </w:rPr>
                  </m:ctrlPr>
                </m:sSubPr>
                <m:e>
                  <m:r>
                    <w:rPr>
                      <w:rFonts w:ascii="Cambria Math" w:hAnsi="Cambria Math"/>
                    </w:rPr>
                    <m:t>I</m:t>
                  </m:r>
                </m:e>
                <m:sub>
                  <m:r>
                    <m:rPr>
                      <m:sty m:val="p"/>
                    </m:rPr>
                    <w:rPr>
                      <w:rFonts w:ascii="Cambria Math" w:hAnsi="Cambria Math"/>
                    </w:rPr>
                    <m:t>2</m:t>
                  </m:r>
                </m:sub>
              </m:sSub>
              <m:r>
                <m:rPr>
                  <m:sty m:val="p"/>
                </m:rPr>
                <w:rPr>
                  <w:rFonts w:ascii="Cambria Math" w:hAnsi="Cambria Math"/>
                </w:rPr>
                <m:t>={3,4}</m:t>
              </m:r>
            </m:oMath>
          </w:p>
        </w:tc>
      </w:tr>
      <w:tr w:rsidR="007A521C" w14:paraId="5C8132C7" w14:textId="77777777" w:rsidTr="000633DC">
        <w:tc>
          <w:tcPr>
            <w:tcW w:w="0" w:type="auto"/>
          </w:tcPr>
          <w:p w14:paraId="29ABAD9C" w14:textId="77777777" w:rsidR="007A521C" w:rsidRDefault="007A521C" w:rsidP="000633DC">
            <w:pPr>
              <w:pStyle w:val="Tabletext"/>
            </w:pPr>
            <w:r>
              <w:t>3</w:t>
            </w:r>
          </w:p>
        </w:tc>
        <w:tc>
          <w:tcPr>
            <w:tcW w:w="4349" w:type="pct"/>
          </w:tcPr>
          <w:p w14:paraId="3A2FF2C5" w14:textId="77777777" w:rsidR="007A521C" w:rsidRDefault="007A521C" w:rsidP="000633DC">
            <w:pPr>
              <w:pStyle w:val="Tabletext"/>
            </w:pPr>
            <w:r>
              <w:t xml:space="preserve">Murrumbidgee, </w:t>
            </w:r>
            <m:oMath>
              <m:sSub>
                <m:sSubPr>
                  <m:ctrlPr>
                    <w:rPr>
                      <w:rFonts w:ascii="Cambria Math" w:hAnsi="Cambria Math"/>
                    </w:rPr>
                  </m:ctrlPr>
                </m:sSubPr>
                <m:e>
                  <m:r>
                    <w:rPr>
                      <w:rFonts w:ascii="Cambria Math" w:hAnsi="Cambria Math"/>
                    </w:rPr>
                    <m:t>I</m:t>
                  </m:r>
                </m:e>
                <m:sub>
                  <m:r>
                    <m:rPr>
                      <m:sty m:val="p"/>
                    </m:rPr>
                    <w:rPr>
                      <w:rFonts w:ascii="Cambria Math" w:hAnsi="Cambria Math"/>
                    </w:rPr>
                    <m:t>3</m:t>
                  </m:r>
                </m:sub>
              </m:sSub>
              <m:r>
                <m:rPr>
                  <m:sty m:val="p"/>
                </m:rPr>
                <w:rPr>
                  <w:rFonts w:ascii="Cambria Math" w:hAnsi="Cambria Math"/>
                </w:rPr>
                <m:t>={5}</m:t>
              </m:r>
            </m:oMath>
          </w:p>
        </w:tc>
      </w:tr>
      <w:tr w:rsidR="007A521C" w14:paraId="22BE4D66" w14:textId="77777777" w:rsidTr="000633DC">
        <w:tc>
          <w:tcPr>
            <w:tcW w:w="0" w:type="auto"/>
          </w:tcPr>
          <w:p w14:paraId="6385D382" w14:textId="77777777" w:rsidR="007A521C" w:rsidRDefault="007A521C" w:rsidP="000633DC">
            <w:pPr>
              <w:pStyle w:val="Tabletext"/>
            </w:pPr>
            <w:r>
              <w:t>4</w:t>
            </w:r>
          </w:p>
        </w:tc>
        <w:tc>
          <w:tcPr>
            <w:tcW w:w="4349" w:type="pct"/>
          </w:tcPr>
          <w:p w14:paraId="20100C8D" w14:textId="77777777" w:rsidR="007A521C" w:rsidRDefault="007A521C" w:rsidP="000633DC">
            <w:pPr>
              <w:pStyle w:val="Tabletext"/>
            </w:pPr>
            <w:r>
              <w:t xml:space="preserve">Lower-Darling, </w:t>
            </w:r>
            <m:oMath>
              <m:sSub>
                <m:sSubPr>
                  <m:ctrlPr>
                    <w:rPr>
                      <w:rFonts w:ascii="Cambria Math" w:hAnsi="Cambria Math"/>
                    </w:rPr>
                  </m:ctrlPr>
                </m:sSubPr>
                <m:e>
                  <m:r>
                    <w:rPr>
                      <w:rFonts w:ascii="Cambria Math" w:hAnsi="Cambria Math"/>
                    </w:rPr>
                    <m:t>I</m:t>
                  </m:r>
                </m:e>
                <m:sub>
                  <m:r>
                    <m:rPr>
                      <m:sty m:val="p"/>
                    </m:rPr>
                    <w:rPr>
                      <w:rFonts w:ascii="Cambria Math" w:hAnsi="Cambria Math"/>
                    </w:rPr>
                    <m:t>4</m:t>
                  </m:r>
                </m:sub>
              </m:sSub>
              <m:r>
                <m:rPr>
                  <m:sty m:val="p"/>
                </m:rPr>
                <w:rPr>
                  <w:rFonts w:ascii="Cambria Math" w:hAnsi="Cambria Math"/>
                </w:rPr>
                <m:t>={6}</m:t>
              </m:r>
            </m:oMath>
          </w:p>
        </w:tc>
      </w:tr>
      <w:tr w:rsidR="007A521C" w14:paraId="10A504C2" w14:textId="77777777" w:rsidTr="000633DC">
        <w:tc>
          <w:tcPr>
            <w:tcW w:w="0" w:type="auto"/>
            <w:tcBorders>
              <w:bottom w:val="single" w:sz="4" w:space="0" w:color="auto"/>
            </w:tcBorders>
          </w:tcPr>
          <w:p w14:paraId="79AC032A" w14:textId="77777777" w:rsidR="007A521C" w:rsidRDefault="007A521C" w:rsidP="000633DC">
            <w:pPr>
              <w:pStyle w:val="Tabletext"/>
            </w:pPr>
            <w:r>
              <w:t>5</w:t>
            </w:r>
          </w:p>
        </w:tc>
        <w:tc>
          <w:tcPr>
            <w:tcW w:w="4349" w:type="pct"/>
            <w:tcBorders>
              <w:bottom w:val="single" w:sz="4" w:space="0" w:color="auto"/>
            </w:tcBorders>
          </w:tcPr>
          <w:p w14:paraId="57025C8A" w14:textId="77777777" w:rsidR="007A521C" w:rsidRDefault="007A521C" w:rsidP="000633DC">
            <w:pPr>
              <w:pStyle w:val="Tabletext"/>
            </w:pPr>
            <w:r>
              <w:t xml:space="preserve">Murray below Barmah, </w:t>
            </w:r>
            <m:oMath>
              <m:sSub>
                <m:sSubPr>
                  <m:ctrlPr>
                    <w:rPr>
                      <w:rFonts w:ascii="Cambria Math" w:hAnsi="Cambria Math"/>
                    </w:rPr>
                  </m:ctrlPr>
                </m:sSubPr>
                <m:e>
                  <m:r>
                    <w:rPr>
                      <w:rFonts w:ascii="Cambria Math" w:hAnsi="Cambria Math"/>
                    </w:rPr>
                    <m:t>I</m:t>
                  </m:r>
                </m:e>
                <m:sub>
                  <m:r>
                    <m:rPr>
                      <m:sty m:val="p"/>
                    </m:rPr>
                    <w:rPr>
                      <w:rFonts w:ascii="Cambria Math" w:hAnsi="Cambria Math"/>
                    </w:rPr>
                    <m:t>5</m:t>
                  </m:r>
                </m:sub>
              </m:sSub>
              <m:r>
                <m:rPr>
                  <m:sty m:val="p"/>
                </m:rPr>
                <w:rPr>
                  <w:rFonts w:ascii="Cambria Math" w:hAnsi="Cambria Math"/>
                </w:rPr>
                <m:t>={7,8,9}</m:t>
              </m:r>
            </m:oMath>
          </w:p>
        </w:tc>
      </w:tr>
    </w:tbl>
    <w:p w14:paraId="25B44C29" w14:textId="77777777" w:rsidR="007A521C" w:rsidRDefault="007A521C" w:rsidP="00777422">
      <w:pPr>
        <w:pStyle w:val="Notesourcetext"/>
      </w:pPr>
      <w:r>
        <w:t xml:space="preserve">Note: For the model equations, trading zones are represented by: </w:t>
      </w:r>
      <m:oMath>
        <m:r>
          <w:rPr>
            <w:rFonts w:ascii="Cambria Math" w:hAnsi="Cambria Math"/>
          </w:rPr>
          <m:t>k∈{1,....,5}</m:t>
        </m:r>
      </m:oMath>
      <w:r>
        <w:t xml:space="preserve"> and </w:t>
      </w:r>
      <m:oMath>
        <m:sSub>
          <m:sSubPr>
            <m:ctrlPr>
              <w:rPr>
                <w:rFonts w:ascii="Cambria Math" w:hAnsi="Cambria Math"/>
              </w:rPr>
            </m:ctrlPr>
          </m:sSubPr>
          <m:e>
            <m:r>
              <w:rPr>
                <w:rFonts w:ascii="Cambria Math" w:hAnsi="Cambria Math"/>
              </w:rPr>
              <m:t>I</m:t>
            </m:r>
          </m:e>
          <m:sub>
            <m:r>
              <w:rPr>
                <w:rFonts w:ascii="Cambria Math" w:hAnsi="Cambria Math"/>
              </w:rPr>
              <m:t>k</m:t>
            </m:r>
          </m:sub>
        </m:sSub>
        <m:r>
          <w:rPr>
            <w:rFonts w:ascii="Cambria Math" w:hAnsi="Cambria Math"/>
          </w:rPr>
          <m:t>⊂I</m:t>
        </m:r>
      </m:oMath>
      <w:r>
        <w:t xml:space="preserve"> as listed in Table 2</w:t>
      </w:r>
    </w:p>
    <w:p w14:paraId="10DA97E4" w14:textId="77777777" w:rsidR="007A521C" w:rsidRDefault="007A521C" w:rsidP="007A521C">
      <w:r>
        <w:t xml:space="preserve">For each trading zone annual net trade must remain within </w:t>
      </w:r>
      <w:r w:rsidR="000633DC">
        <w:t xml:space="preserve">a </w:t>
      </w:r>
      <w:r>
        <w:t>predefined lower and upper limit:</w:t>
      </w:r>
    </w:p>
    <w:p w14:paraId="2D01B4E2" w14:textId="77777777" w:rsidR="007A521C" w:rsidRPr="00BC470A" w:rsidRDefault="00220589" w:rsidP="007A521C">
      <m:oMathPara>
        <m:oMathParaPr>
          <m:jc m:val="center"/>
        </m:oMathParaPr>
        <m:oMath>
          <m:sSub>
            <m:sSubPr>
              <m:ctrlPr>
                <w:rPr>
                  <w:rFonts w:ascii="Cambria Math" w:hAnsi="Cambria Math"/>
                </w:rPr>
              </m:ctrlPr>
            </m:sSubPr>
            <m:e>
              <m:limLow>
                <m:limLowPr>
                  <m:ctrlPr>
                    <w:rPr>
                      <w:rFonts w:ascii="Cambria Math" w:hAnsi="Cambria Math"/>
                    </w:rPr>
                  </m:ctrlPr>
                </m:limLowPr>
                <m:e>
                  <m:r>
                    <w:rPr>
                      <w:rFonts w:ascii="Cambria Math" w:hAnsi="Cambria Math"/>
                    </w:rPr>
                    <m:t>Δ</m:t>
                  </m:r>
                </m:e>
                <m:lim>
                  <m:r>
                    <w:rPr>
                      <w:rFonts w:ascii="Cambria Math" w:hAnsi="Cambria Math"/>
                    </w:rPr>
                    <m:t>̲</m:t>
                  </m:r>
                </m:lim>
              </m:limLow>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kt</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Δ</m:t>
                  </m:r>
                </m:e>
              </m:bar>
            </m:e>
            <m:sub>
              <m:r>
                <w:rPr>
                  <w:rFonts w:ascii="Cambria Math" w:hAnsi="Cambria Math"/>
                </w:rPr>
                <m:t>kt</m:t>
              </m:r>
            </m:sub>
          </m:sSub>
          <m:r>
            <w:rPr>
              <w:rFonts w:ascii="Cambria Math" w:hAnsi="Cambria Math"/>
            </w:rPr>
            <m:t>  (8)</m:t>
          </m:r>
        </m:oMath>
      </m:oMathPara>
    </w:p>
    <w:p w14:paraId="35851EA4" w14:textId="0A45BF87" w:rsidR="009F117A" w:rsidRDefault="007A521C" w:rsidP="007A521C">
      <w:pPr>
        <w:pStyle w:val="BodyText1"/>
      </w:pPr>
      <w:r>
        <w:t>These upper and lower trade limit</w:t>
      </w:r>
      <w:r w:rsidR="000633DC">
        <w:t>s can be set to reflect prevailing trading rules within the sMDB in each year. The baseline parameters</w:t>
      </w:r>
      <w:r>
        <w:t xml:space="preserve"> </w:t>
      </w:r>
      <w:r w:rsidR="000633DC">
        <w:t>used in this paper</w:t>
      </w:r>
      <w:r>
        <w:t xml:space="preserve"> </w:t>
      </w:r>
      <w:r w:rsidR="000633DC">
        <w:t xml:space="preserve">are </w:t>
      </w:r>
      <w:r>
        <w:t xml:space="preserve">listed in </w:t>
      </w:r>
      <w:r>
        <w:fldChar w:fldCharType="begin"/>
      </w:r>
      <w:r>
        <w:instrText xml:space="preserve"> REF _Ref492899622 \h </w:instrText>
      </w:r>
      <w:r>
        <w:fldChar w:fldCharType="separate"/>
      </w:r>
      <w:r w:rsidR="00F709AB">
        <w:t xml:space="preserve">Table </w:t>
      </w:r>
      <w:r w:rsidR="00F709AB">
        <w:rPr>
          <w:noProof/>
        </w:rPr>
        <w:t>5</w:t>
      </w:r>
      <w:r>
        <w:fldChar w:fldCharType="end"/>
      </w:r>
      <w:r>
        <w:t xml:space="preserve"> </w:t>
      </w:r>
      <w:r w:rsidR="000633DC">
        <w:t xml:space="preserve">and </w:t>
      </w:r>
      <w:r>
        <w:t xml:space="preserve">are based on </w:t>
      </w:r>
      <w:r w:rsidR="000633DC">
        <w:t xml:space="preserve">an </w:t>
      </w:r>
      <w:r w:rsidRPr="009B7A5A">
        <w:t xml:space="preserve">analysis of </w:t>
      </w:r>
      <w:r w:rsidR="000633DC">
        <w:t xml:space="preserve">historical </w:t>
      </w:r>
      <w:r>
        <w:t xml:space="preserve">annual trade flow data (see </w:t>
      </w:r>
      <w:r w:rsidRPr="00C1640B">
        <w:t xml:space="preserve">Hughes </w:t>
      </w:r>
      <w:r w:rsidR="006D7FB6">
        <w:t>et al.</w:t>
      </w:r>
      <w:r>
        <w:t xml:space="preserve"> 2016).</w:t>
      </w:r>
    </w:p>
    <w:p w14:paraId="30D14CA6" w14:textId="77777777" w:rsidR="009F117A" w:rsidRDefault="009F117A">
      <w:pPr>
        <w:spacing w:after="0" w:line="240" w:lineRule="auto"/>
      </w:pPr>
      <w:r>
        <w:br w:type="page"/>
      </w:r>
    </w:p>
    <w:p w14:paraId="30AE4E29" w14:textId="77777777" w:rsidR="007A521C" w:rsidRPr="009B7A5A" w:rsidRDefault="007A521C" w:rsidP="007A521C">
      <w:pPr>
        <w:pStyle w:val="Caption"/>
      </w:pPr>
      <w:bookmarkStart w:id="38" w:name="_Ref492899622"/>
      <w:bookmarkStart w:id="39" w:name="_Toc505345888"/>
      <w:r>
        <w:lastRenderedPageBreak/>
        <w:t xml:space="preserve">Table </w:t>
      </w:r>
      <w:fldSimple w:instr=" SEQ Table \* ARABIC ">
        <w:r w:rsidR="00F709AB">
          <w:rPr>
            <w:noProof/>
          </w:rPr>
          <w:t>5</w:t>
        </w:r>
      </w:fldSimple>
      <w:bookmarkEnd w:id="38"/>
      <w:r>
        <w:t xml:space="preserve"> </w:t>
      </w:r>
      <w:r w:rsidRPr="00B01AA6">
        <w:t>Annual trade constraints for trading zones in s</w:t>
      </w:r>
      <w:r>
        <w:t xml:space="preserve">outhern </w:t>
      </w:r>
      <w:r w:rsidRPr="00B01AA6">
        <w:t>MDB</w:t>
      </w:r>
      <w:r>
        <w:t xml:space="preserve"> (GL)</w:t>
      </w:r>
      <w:bookmarkEnd w:id="39"/>
    </w:p>
    <w:tbl>
      <w:tblPr>
        <w:tblStyle w:val="ABAREStableleftalign"/>
        <w:tblW w:w="5000" w:type="pct"/>
        <w:tblLook w:val="04A0" w:firstRow="1" w:lastRow="0" w:firstColumn="1" w:lastColumn="0" w:noHBand="0" w:noVBand="1"/>
      </w:tblPr>
      <w:tblGrid>
        <w:gridCol w:w="658"/>
        <w:gridCol w:w="846"/>
        <w:gridCol w:w="837"/>
        <w:gridCol w:w="845"/>
        <w:gridCol w:w="814"/>
        <w:gridCol w:w="845"/>
        <w:gridCol w:w="845"/>
        <w:gridCol w:w="845"/>
        <w:gridCol w:w="845"/>
        <w:gridCol w:w="845"/>
        <w:gridCol w:w="845"/>
      </w:tblGrid>
      <w:tr w:rsidR="007A521C" w:rsidRPr="00B65624" w14:paraId="3C0C897F" w14:textId="77777777" w:rsidTr="0017049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9" w:type="pct"/>
            <w:vMerge w:val="restart"/>
            <w:noWrap/>
            <w:hideMark/>
          </w:tcPr>
          <w:p w14:paraId="29F9569C" w14:textId="77777777" w:rsidR="007A521C" w:rsidRPr="00C16FD7" w:rsidRDefault="007A521C" w:rsidP="000633DC">
            <w:pPr>
              <w:pStyle w:val="Tabletext"/>
              <w:rPr>
                <w:rStyle w:val="Bold"/>
                <w:b/>
              </w:rPr>
            </w:pPr>
            <w:r w:rsidRPr="00C16FD7">
              <w:rPr>
                <w:rStyle w:val="Bold"/>
                <w:b/>
              </w:rPr>
              <w:t>Year</w:t>
            </w:r>
          </w:p>
        </w:tc>
        <w:tc>
          <w:tcPr>
            <w:tcW w:w="940" w:type="pct"/>
            <w:gridSpan w:val="2"/>
            <w:hideMark/>
          </w:tcPr>
          <w:p w14:paraId="5D7C5EBC"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Murrumbidgee</w:t>
            </w:r>
          </w:p>
        </w:tc>
        <w:tc>
          <w:tcPr>
            <w:tcW w:w="921" w:type="pct"/>
            <w:gridSpan w:val="2"/>
            <w:hideMark/>
          </w:tcPr>
          <w:p w14:paraId="074B37C1"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Northern Victoria</w:t>
            </w:r>
          </w:p>
        </w:tc>
        <w:tc>
          <w:tcPr>
            <w:tcW w:w="932" w:type="pct"/>
            <w:gridSpan w:val="2"/>
            <w:hideMark/>
          </w:tcPr>
          <w:p w14:paraId="6BA69857"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Lower-Darling</w:t>
            </w:r>
          </w:p>
        </w:tc>
        <w:tc>
          <w:tcPr>
            <w:tcW w:w="932" w:type="pct"/>
            <w:gridSpan w:val="2"/>
            <w:hideMark/>
          </w:tcPr>
          <w:p w14:paraId="712F2868"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Murray</w:t>
            </w:r>
          </w:p>
          <w:p w14:paraId="392DFFB7"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above Barmah</w:t>
            </w:r>
          </w:p>
        </w:tc>
        <w:tc>
          <w:tcPr>
            <w:tcW w:w="907" w:type="pct"/>
            <w:gridSpan w:val="2"/>
            <w:hideMark/>
          </w:tcPr>
          <w:p w14:paraId="34B7D28B"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Murray</w:t>
            </w:r>
          </w:p>
          <w:p w14:paraId="0B14E7C8" w14:textId="77777777" w:rsidR="007A521C" w:rsidRPr="00C16FD7" w:rsidRDefault="007A521C" w:rsidP="0017049C">
            <w:pPr>
              <w:pStyle w:val="Tabletext"/>
              <w:jc w:val="right"/>
              <w:cnfStyle w:val="100000000000" w:firstRow="1" w:lastRow="0" w:firstColumn="0" w:lastColumn="0" w:oddVBand="0" w:evenVBand="0" w:oddHBand="0" w:evenHBand="0" w:firstRowFirstColumn="0" w:firstRowLastColumn="0" w:lastRowFirstColumn="0" w:lastRowLastColumn="0"/>
              <w:rPr>
                <w:rStyle w:val="Bold"/>
                <w:b/>
              </w:rPr>
            </w:pPr>
            <w:r w:rsidRPr="00C16FD7">
              <w:rPr>
                <w:rStyle w:val="Bold"/>
                <w:b/>
              </w:rPr>
              <w:t>below Barmah</w:t>
            </w:r>
          </w:p>
        </w:tc>
      </w:tr>
      <w:tr w:rsidR="007A521C" w:rsidRPr="00B65624" w14:paraId="3C7CFC62"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vMerge/>
            <w:hideMark/>
          </w:tcPr>
          <w:p w14:paraId="48039C8F" w14:textId="77777777" w:rsidR="007A521C" w:rsidRPr="0015288B" w:rsidRDefault="007A521C" w:rsidP="000633DC">
            <w:pPr>
              <w:pStyle w:val="Tabletext"/>
              <w:rPr>
                <w:rStyle w:val="Bold"/>
              </w:rPr>
            </w:pPr>
          </w:p>
        </w:tc>
        <w:tc>
          <w:tcPr>
            <w:tcW w:w="467" w:type="pct"/>
            <w:noWrap/>
            <w:hideMark/>
          </w:tcPr>
          <w:p w14:paraId="4D9A0878"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TL</w:t>
            </w:r>
          </w:p>
        </w:tc>
        <w:tc>
          <w:tcPr>
            <w:tcW w:w="473" w:type="pct"/>
            <w:noWrap/>
            <w:hideMark/>
          </w:tcPr>
          <w:p w14:paraId="2943BA5D"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TU</w:t>
            </w:r>
          </w:p>
        </w:tc>
        <w:tc>
          <w:tcPr>
            <w:tcW w:w="466" w:type="pct"/>
            <w:noWrap/>
            <w:hideMark/>
          </w:tcPr>
          <w:p w14:paraId="2651424D"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TL</w:t>
            </w:r>
          </w:p>
        </w:tc>
        <w:tc>
          <w:tcPr>
            <w:tcW w:w="455" w:type="pct"/>
            <w:noWrap/>
            <w:hideMark/>
          </w:tcPr>
          <w:p w14:paraId="16694683"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TU</w:t>
            </w:r>
          </w:p>
        </w:tc>
        <w:tc>
          <w:tcPr>
            <w:tcW w:w="466" w:type="pct"/>
            <w:noWrap/>
            <w:hideMark/>
          </w:tcPr>
          <w:p w14:paraId="5FC2CE74"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TL</w:t>
            </w:r>
          </w:p>
        </w:tc>
        <w:tc>
          <w:tcPr>
            <w:tcW w:w="466" w:type="pct"/>
            <w:noWrap/>
            <w:hideMark/>
          </w:tcPr>
          <w:p w14:paraId="4F772131"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TU</w:t>
            </w:r>
          </w:p>
        </w:tc>
        <w:tc>
          <w:tcPr>
            <w:tcW w:w="466" w:type="pct"/>
            <w:noWrap/>
            <w:hideMark/>
          </w:tcPr>
          <w:p w14:paraId="2841219B"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TL</w:t>
            </w:r>
          </w:p>
        </w:tc>
        <w:tc>
          <w:tcPr>
            <w:tcW w:w="466" w:type="pct"/>
            <w:noWrap/>
            <w:hideMark/>
          </w:tcPr>
          <w:p w14:paraId="65B2F1C0"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TU</w:t>
            </w:r>
          </w:p>
        </w:tc>
        <w:tc>
          <w:tcPr>
            <w:tcW w:w="466" w:type="pct"/>
            <w:noWrap/>
            <w:hideMark/>
          </w:tcPr>
          <w:p w14:paraId="1CF146AB"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TL</w:t>
            </w:r>
          </w:p>
        </w:tc>
        <w:tc>
          <w:tcPr>
            <w:tcW w:w="441" w:type="pct"/>
            <w:noWrap/>
            <w:hideMark/>
          </w:tcPr>
          <w:p w14:paraId="6F30C185" w14:textId="77777777" w:rsidR="007A521C" w:rsidRPr="0015288B" w:rsidRDefault="007A521C" w:rsidP="0017049C">
            <w:pPr>
              <w:pStyle w:val="Tabletext"/>
              <w:jc w:val="right"/>
              <w:cnfStyle w:val="000000000000" w:firstRow="0" w:lastRow="0" w:firstColumn="0" w:lastColumn="0" w:oddVBand="0" w:evenVBand="0" w:oddHBand="0" w:evenHBand="0" w:firstRowFirstColumn="0" w:firstRowLastColumn="0" w:lastRowFirstColumn="0" w:lastRowLastColumn="0"/>
              <w:rPr>
                <w:rStyle w:val="Bold"/>
              </w:rPr>
            </w:pPr>
            <w:r w:rsidRPr="0015288B">
              <w:rPr>
                <w:rStyle w:val="Bold"/>
              </w:rPr>
              <w:t>TU</w:t>
            </w:r>
          </w:p>
        </w:tc>
      </w:tr>
      <w:tr w:rsidR="0017049C" w:rsidRPr="00B65624" w14:paraId="398DB88D"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21EB1930" w14:textId="77777777" w:rsidR="0017049C" w:rsidRPr="009B7A5A" w:rsidRDefault="0017049C" w:rsidP="0017049C">
            <w:pPr>
              <w:pStyle w:val="Tabletext"/>
            </w:pPr>
            <w:r w:rsidRPr="009B7A5A">
              <w:t>2003</w:t>
            </w:r>
          </w:p>
        </w:tc>
        <w:tc>
          <w:tcPr>
            <w:tcW w:w="467" w:type="pct"/>
            <w:noWrap/>
            <w:hideMark/>
          </w:tcPr>
          <w:p w14:paraId="53321B41" w14:textId="725801BA" w:rsidR="0017049C" w:rsidRPr="009B7A5A" w:rsidRDefault="0017049C" w:rsidP="00811B73">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444C7E21"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458F98F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55" w:type="pct"/>
            <w:noWrap/>
            <w:hideMark/>
          </w:tcPr>
          <w:p w14:paraId="30EB576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4F84DBF0" w14:textId="1222FF51"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36F67801" w14:textId="79BEAD2E"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286694D5" w14:textId="57327C5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02687A63" w14:textId="398C8A1A"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7D2BD49E" w14:textId="5F8D08DA"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1588BB7F" w14:textId="30E8CF7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56E83455"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0CEDC2A8" w14:textId="77777777" w:rsidR="0017049C" w:rsidRPr="009B7A5A" w:rsidRDefault="0017049C" w:rsidP="0017049C">
            <w:pPr>
              <w:pStyle w:val="Tabletext"/>
            </w:pPr>
            <w:r w:rsidRPr="009B7A5A">
              <w:t>2004</w:t>
            </w:r>
          </w:p>
        </w:tc>
        <w:tc>
          <w:tcPr>
            <w:tcW w:w="467" w:type="pct"/>
            <w:noWrap/>
            <w:hideMark/>
          </w:tcPr>
          <w:p w14:paraId="18515ACF" w14:textId="3453E52E"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04157E63"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479E3E8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55" w:type="pct"/>
            <w:noWrap/>
            <w:hideMark/>
          </w:tcPr>
          <w:p w14:paraId="1CD0D0F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11ECDE4F" w14:textId="5212C9F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471942FB" w14:textId="25A395B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2F2B7F8F" w14:textId="07B504A3"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32C96BC3" w14:textId="5C423F2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7437F75F" w14:textId="5D73B05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2219E80E" w14:textId="2EDD3332"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73450091"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252C7327" w14:textId="77777777" w:rsidR="0017049C" w:rsidRPr="009B7A5A" w:rsidRDefault="0017049C" w:rsidP="0017049C">
            <w:pPr>
              <w:pStyle w:val="Tabletext"/>
            </w:pPr>
            <w:r w:rsidRPr="009B7A5A">
              <w:t>2005</w:t>
            </w:r>
          </w:p>
        </w:tc>
        <w:tc>
          <w:tcPr>
            <w:tcW w:w="467" w:type="pct"/>
            <w:noWrap/>
            <w:hideMark/>
          </w:tcPr>
          <w:p w14:paraId="354A6394" w14:textId="3E5B1DF3"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01DAF86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4877BCB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05765C">
              <w:t>no limit</w:t>
            </w:r>
          </w:p>
        </w:tc>
        <w:tc>
          <w:tcPr>
            <w:tcW w:w="455" w:type="pct"/>
            <w:noWrap/>
            <w:hideMark/>
          </w:tcPr>
          <w:p w14:paraId="348F8EA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026062CE"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38585B">
              <w:t>no limit</w:t>
            </w:r>
          </w:p>
        </w:tc>
        <w:tc>
          <w:tcPr>
            <w:tcW w:w="466" w:type="pct"/>
            <w:noWrap/>
            <w:hideMark/>
          </w:tcPr>
          <w:p w14:paraId="46BB2CE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38585B">
              <w:t>no limit</w:t>
            </w:r>
          </w:p>
        </w:tc>
        <w:tc>
          <w:tcPr>
            <w:tcW w:w="466" w:type="pct"/>
            <w:noWrap/>
            <w:hideMark/>
          </w:tcPr>
          <w:p w14:paraId="15B6C9B4" w14:textId="2F24DBF9"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2064CDD1" w14:textId="2DF0DA1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56389315" w14:textId="64B765AE"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536F6365" w14:textId="1C598C1C"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5E377E2D"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3933A393" w14:textId="77777777" w:rsidR="0017049C" w:rsidRPr="009B7A5A" w:rsidRDefault="0017049C" w:rsidP="0017049C">
            <w:pPr>
              <w:pStyle w:val="Tabletext"/>
            </w:pPr>
            <w:r w:rsidRPr="009B7A5A">
              <w:t>2006</w:t>
            </w:r>
          </w:p>
        </w:tc>
        <w:tc>
          <w:tcPr>
            <w:tcW w:w="467" w:type="pct"/>
            <w:noWrap/>
            <w:hideMark/>
          </w:tcPr>
          <w:p w14:paraId="0D1723A2" w14:textId="28D3CBA4"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4BBEC08A"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6FED3AEF"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05765C">
              <w:t>no limit</w:t>
            </w:r>
          </w:p>
        </w:tc>
        <w:tc>
          <w:tcPr>
            <w:tcW w:w="455" w:type="pct"/>
            <w:noWrap/>
            <w:hideMark/>
          </w:tcPr>
          <w:p w14:paraId="7AFAC3A1"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012FEB68"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2666A84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4B51BDA6" w14:textId="61109B1E"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19E56E33" w14:textId="47C56F9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11C15114" w14:textId="13F8CA02"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405028BC" w14:textId="45EEC399"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275A7283"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11F061F0" w14:textId="77777777" w:rsidR="0017049C" w:rsidRPr="009B7A5A" w:rsidRDefault="0017049C" w:rsidP="0017049C">
            <w:pPr>
              <w:pStyle w:val="Tabletext"/>
            </w:pPr>
            <w:r w:rsidRPr="009B7A5A">
              <w:t>2007</w:t>
            </w:r>
          </w:p>
        </w:tc>
        <w:tc>
          <w:tcPr>
            <w:tcW w:w="467" w:type="pct"/>
            <w:noWrap/>
            <w:hideMark/>
          </w:tcPr>
          <w:p w14:paraId="4DE9E2A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73" w:type="pct"/>
            <w:noWrap/>
            <w:hideMark/>
          </w:tcPr>
          <w:p w14:paraId="20A89F1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7FEC3CAC"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05765C">
              <w:t>no limit</w:t>
            </w:r>
          </w:p>
        </w:tc>
        <w:tc>
          <w:tcPr>
            <w:tcW w:w="455" w:type="pct"/>
            <w:noWrap/>
            <w:hideMark/>
          </w:tcPr>
          <w:p w14:paraId="24E0945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56A778D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71D3A28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5F0EE763" w14:textId="2451A90E"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59CFB2C8" w14:textId="1C7F08B3"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100A7920" w14:textId="721D4A5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7CD58BA0" w14:textId="6F6845AF"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3D60D465"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53E7C8F5" w14:textId="77777777" w:rsidR="0017049C" w:rsidRPr="009B7A5A" w:rsidRDefault="0017049C" w:rsidP="0017049C">
            <w:pPr>
              <w:pStyle w:val="Tabletext"/>
            </w:pPr>
            <w:r w:rsidRPr="009B7A5A">
              <w:t>2008</w:t>
            </w:r>
          </w:p>
        </w:tc>
        <w:tc>
          <w:tcPr>
            <w:tcW w:w="467" w:type="pct"/>
            <w:noWrap/>
            <w:hideMark/>
          </w:tcPr>
          <w:p w14:paraId="7E152FC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73" w:type="pct"/>
            <w:noWrap/>
            <w:hideMark/>
          </w:tcPr>
          <w:p w14:paraId="0DD6B7CB"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015599C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05765C">
              <w:t>no limit</w:t>
            </w:r>
          </w:p>
        </w:tc>
        <w:tc>
          <w:tcPr>
            <w:tcW w:w="455" w:type="pct"/>
            <w:noWrap/>
            <w:hideMark/>
          </w:tcPr>
          <w:p w14:paraId="4BF90F28"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2CC73D4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7286F0F5"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3DD6E63C"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784B4FC1" w14:textId="7B3DEBE8"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7C3F95A6" w14:textId="2FC8EC0A"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2E5CE8EF" w14:textId="3720238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66F75D3D"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46C0E9AD" w14:textId="77777777" w:rsidR="0017049C" w:rsidRPr="009B7A5A" w:rsidRDefault="0017049C" w:rsidP="0017049C">
            <w:pPr>
              <w:pStyle w:val="Tabletext"/>
            </w:pPr>
            <w:r w:rsidRPr="009B7A5A">
              <w:t>2009</w:t>
            </w:r>
          </w:p>
        </w:tc>
        <w:tc>
          <w:tcPr>
            <w:tcW w:w="467" w:type="pct"/>
            <w:noWrap/>
            <w:hideMark/>
          </w:tcPr>
          <w:p w14:paraId="71D17A85"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73" w:type="pct"/>
            <w:noWrap/>
            <w:hideMark/>
          </w:tcPr>
          <w:p w14:paraId="0C56370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6288F06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05765C">
              <w:t>no limit</w:t>
            </w:r>
          </w:p>
        </w:tc>
        <w:tc>
          <w:tcPr>
            <w:tcW w:w="455" w:type="pct"/>
            <w:noWrap/>
            <w:hideMark/>
          </w:tcPr>
          <w:p w14:paraId="3A7BDE30"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3D079C7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7732AF">
              <w:t>no limit</w:t>
            </w:r>
          </w:p>
        </w:tc>
        <w:tc>
          <w:tcPr>
            <w:tcW w:w="466" w:type="pct"/>
            <w:noWrap/>
            <w:hideMark/>
          </w:tcPr>
          <w:p w14:paraId="6809A66A"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7732AF">
              <w:t>no limit</w:t>
            </w:r>
          </w:p>
        </w:tc>
        <w:tc>
          <w:tcPr>
            <w:tcW w:w="466" w:type="pct"/>
            <w:noWrap/>
            <w:hideMark/>
          </w:tcPr>
          <w:p w14:paraId="55422B0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6679119E" w14:textId="5F5DF86F"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4DA5BA15" w14:textId="7C32DB09"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69E08FBE" w14:textId="7C4C252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2820A8D5"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3AC0D89C" w14:textId="77777777" w:rsidR="0017049C" w:rsidRPr="009B7A5A" w:rsidRDefault="0017049C" w:rsidP="0017049C">
            <w:pPr>
              <w:pStyle w:val="Tabletext"/>
            </w:pPr>
            <w:r w:rsidRPr="009B7A5A">
              <w:t>2010</w:t>
            </w:r>
          </w:p>
        </w:tc>
        <w:tc>
          <w:tcPr>
            <w:tcW w:w="467" w:type="pct"/>
            <w:noWrap/>
            <w:hideMark/>
          </w:tcPr>
          <w:p w14:paraId="13429E4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73" w:type="pct"/>
            <w:noWrap/>
            <w:hideMark/>
          </w:tcPr>
          <w:p w14:paraId="7DBF002D"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2376BE41"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05765C">
              <w:t>no limit</w:t>
            </w:r>
          </w:p>
        </w:tc>
        <w:tc>
          <w:tcPr>
            <w:tcW w:w="455" w:type="pct"/>
            <w:noWrap/>
            <w:hideMark/>
          </w:tcPr>
          <w:p w14:paraId="1D6D797D"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0BDA7AE4" w14:textId="4AB18C2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-68</w:t>
            </w:r>
          </w:p>
        </w:tc>
        <w:tc>
          <w:tcPr>
            <w:tcW w:w="466" w:type="pct"/>
            <w:noWrap/>
            <w:hideMark/>
          </w:tcPr>
          <w:p w14:paraId="57A9456F"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hideMark/>
          </w:tcPr>
          <w:p w14:paraId="13D98D8A"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1C17B549" w14:textId="1FC8AD2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5492764E" w14:textId="048A22BF"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11D15E70" w14:textId="192893F0"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602784D4"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07F9CB6C" w14:textId="77777777" w:rsidR="0017049C" w:rsidRPr="009B7A5A" w:rsidRDefault="0017049C" w:rsidP="0017049C">
            <w:pPr>
              <w:pStyle w:val="Tabletext"/>
            </w:pPr>
            <w:r w:rsidRPr="009B7A5A">
              <w:t>2011</w:t>
            </w:r>
          </w:p>
        </w:tc>
        <w:tc>
          <w:tcPr>
            <w:tcW w:w="467" w:type="pct"/>
            <w:noWrap/>
            <w:hideMark/>
          </w:tcPr>
          <w:p w14:paraId="14FDB21F" w14:textId="645DA9F1"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63A7187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1C6278D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-150</w:t>
            </w:r>
          </w:p>
        </w:tc>
        <w:tc>
          <w:tcPr>
            <w:tcW w:w="455" w:type="pct"/>
            <w:noWrap/>
            <w:hideMark/>
          </w:tcPr>
          <w:p w14:paraId="08C23090"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1CCDCC1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1E1B8F0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224A14D9" w14:textId="190C16EA"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0F0E8980" w14:textId="587ADF71"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3BBD9D9C" w14:textId="045312D1"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745446A8" w14:textId="1A66766B"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2F8E8E4F"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671FA523" w14:textId="77777777" w:rsidR="0017049C" w:rsidRPr="009B7A5A" w:rsidRDefault="0017049C" w:rsidP="0017049C">
            <w:pPr>
              <w:pStyle w:val="Tabletext"/>
            </w:pPr>
            <w:r w:rsidRPr="009B7A5A">
              <w:t>2012</w:t>
            </w:r>
          </w:p>
        </w:tc>
        <w:tc>
          <w:tcPr>
            <w:tcW w:w="467" w:type="pct"/>
            <w:noWrap/>
            <w:hideMark/>
          </w:tcPr>
          <w:p w14:paraId="440F0DAD" w14:textId="4B73B34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108C772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77C3A359"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-150</w:t>
            </w:r>
          </w:p>
        </w:tc>
        <w:tc>
          <w:tcPr>
            <w:tcW w:w="455" w:type="pct"/>
            <w:noWrap/>
            <w:hideMark/>
          </w:tcPr>
          <w:p w14:paraId="275E9687"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72C182FF"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04CB5532"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079009A7" w14:textId="15FBE1D0"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3BCEFEC5" w14:textId="7430D471"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0F10A0C3" w14:textId="2886A92C"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0BF4207A" w14:textId="263EC940"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0C885136"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0AF64A10" w14:textId="77777777" w:rsidR="0017049C" w:rsidRPr="009B7A5A" w:rsidRDefault="0017049C" w:rsidP="0017049C">
            <w:pPr>
              <w:pStyle w:val="Tabletext"/>
            </w:pPr>
            <w:r w:rsidRPr="009B7A5A">
              <w:t>2013</w:t>
            </w:r>
          </w:p>
        </w:tc>
        <w:tc>
          <w:tcPr>
            <w:tcW w:w="467" w:type="pct"/>
            <w:noWrap/>
            <w:hideMark/>
          </w:tcPr>
          <w:p w14:paraId="258407BA" w14:textId="21D033D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5529421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2AD925D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-150</w:t>
            </w:r>
          </w:p>
        </w:tc>
        <w:tc>
          <w:tcPr>
            <w:tcW w:w="455" w:type="pct"/>
            <w:noWrap/>
            <w:hideMark/>
          </w:tcPr>
          <w:p w14:paraId="678CF5B4"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25BAE35E"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0DB152FC"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66C94C1C" w14:textId="15CAA85B"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5379C1B6" w14:textId="56AFF45D"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01094068" w14:textId="249F8691"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5AF88EBA" w14:textId="1CBFE3C9"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1213CBDD"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64A0492D" w14:textId="77777777" w:rsidR="0017049C" w:rsidRPr="009B7A5A" w:rsidRDefault="0017049C" w:rsidP="0017049C">
            <w:pPr>
              <w:pStyle w:val="Tabletext"/>
            </w:pPr>
            <w:r w:rsidRPr="009B7A5A">
              <w:t>2014</w:t>
            </w:r>
          </w:p>
        </w:tc>
        <w:tc>
          <w:tcPr>
            <w:tcW w:w="467" w:type="pct"/>
            <w:noWrap/>
            <w:hideMark/>
          </w:tcPr>
          <w:p w14:paraId="742424E7" w14:textId="782A251F"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29A89ECA"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44E08260"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-150</w:t>
            </w:r>
          </w:p>
        </w:tc>
        <w:tc>
          <w:tcPr>
            <w:tcW w:w="455" w:type="pct"/>
            <w:noWrap/>
            <w:hideMark/>
          </w:tcPr>
          <w:p w14:paraId="73F6724A"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508B83C8"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134B761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E83FD0">
              <w:t>no limit</w:t>
            </w:r>
          </w:p>
        </w:tc>
        <w:tc>
          <w:tcPr>
            <w:tcW w:w="466" w:type="pct"/>
            <w:noWrap/>
            <w:hideMark/>
          </w:tcPr>
          <w:p w14:paraId="50FDE915" w14:textId="71FAD8A4"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BD4BFD">
              <w:t>no limit</w:t>
            </w:r>
          </w:p>
        </w:tc>
        <w:tc>
          <w:tcPr>
            <w:tcW w:w="466" w:type="pct"/>
            <w:noWrap/>
            <w:hideMark/>
          </w:tcPr>
          <w:p w14:paraId="37E3A239" w14:textId="71877EB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32D32526" w14:textId="1627BE0C"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6944DE5F" w14:textId="6F3FBD20"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3F98B3A3"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hideMark/>
          </w:tcPr>
          <w:p w14:paraId="1C809F99" w14:textId="77777777" w:rsidR="0017049C" w:rsidRPr="009B7A5A" w:rsidRDefault="0017049C" w:rsidP="0017049C">
            <w:pPr>
              <w:pStyle w:val="Tabletext"/>
            </w:pPr>
            <w:r w:rsidRPr="009B7A5A">
              <w:t>2015</w:t>
            </w:r>
          </w:p>
        </w:tc>
        <w:tc>
          <w:tcPr>
            <w:tcW w:w="467" w:type="pct"/>
            <w:noWrap/>
            <w:hideMark/>
          </w:tcPr>
          <w:p w14:paraId="0D7780E9" w14:textId="1DC74380"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hideMark/>
          </w:tcPr>
          <w:p w14:paraId="3C991355"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57876F8E"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-150</w:t>
            </w:r>
          </w:p>
        </w:tc>
        <w:tc>
          <w:tcPr>
            <w:tcW w:w="455" w:type="pct"/>
            <w:noWrap/>
            <w:hideMark/>
          </w:tcPr>
          <w:p w14:paraId="01CF85F6"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hideMark/>
          </w:tcPr>
          <w:p w14:paraId="1152ED03"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355B39E0"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hideMark/>
          </w:tcPr>
          <w:p w14:paraId="07C8102F" w14:textId="64375EEA"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-26</w:t>
            </w:r>
          </w:p>
        </w:tc>
        <w:tc>
          <w:tcPr>
            <w:tcW w:w="466" w:type="pct"/>
            <w:noWrap/>
            <w:hideMark/>
          </w:tcPr>
          <w:p w14:paraId="21218B55" w14:textId="25ED1942"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hideMark/>
          </w:tcPr>
          <w:p w14:paraId="1EEAEE75" w14:textId="160CE5AC"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hideMark/>
          </w:tcPr>
          <w:p w14:paraId="35CAC949" w14:textId="7D00F5DD"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17049C" w:rsidRPr="00B65624" w14:paraId="53073A29"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tcPr>
          <w:p w14:paraId="60303DF1" w14:textId="77777777" w:rsidR="0017049C" w:rsidRPr="009B7A5A" w:rsidRDefault="0017049C" w:rsidP="0017049C">
            <w:pPr>
              <w:pStyle w:val="Tabletext"/>
            </w:pPr>
            <w:r>
              <w:t>2016</w:t>
            </w:r>
          </w:p>
        </w:tc>
        <w:tc>
          <w:tcPr>
            <w:tcW w:w="467" w:type="pct"/>
            <w:noWrap/>
          </w:tcPr>
          <w:p w14:paraId="35C53C90" w14:textId="2F171DF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w:t>
            </w:r>
            <w:r w:rsidR="00811B73">
              <w:t>200</w:t>
            </w:r>
          </w:p>
        </w:tc>
        <w:tc>
          <w:tcPr>
            <w:tcW w:w="473" w:type="pct"/>
            <w:noWrap/>
          </w:tcPr>
          <w:p w14:paraId="6AB13D5F"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tcPr>
          <w:p w14:paraId="2C8C5648"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-150</w:t>
            </w:r>
          </w:p>
        </w:tc>
        <w:tc>
          <w:tcPr>
            <w:tcW w:w="455" w:type="pct"/>
            <w:noWrap/>
          </w:tcPr>
          <w:p w14:paraId="1ED6C9CC"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50</w:t>
            </w:r>
          </w:p>
        </w:tc>
        <w:tc>
          <w:tcPr>
            <w:tcW w:w="466" w:type="pct"/>
            <w:noWrap/>
          </w:tcPr>
          <w:p w14:paraId="31084F15"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tcPr>
          <w:p w14:paraId="26CEA668" w14:textId="77777777"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9B7A5A">
              <w:t>0</w:t>
            </w:r>
          </w:p>
        </w:tc>
        <w:tc>
          <w:tcPr>
            <w:tcW w:w="466" w:type="pct"/>
            <w:noWrap/>
          </w:tcPr>
          <w:p w14:paraId="60D2AC16" w14:textId="3B411438"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-26</w:t>
            </w:r>
          </w:p>
        </w:tc>
        <w:tc>
          <w:tcPr>
            <w:tcW w:w="466" w:type="pct"/>
            <w:noWrap/>
          </w:tcPr>
          <w:p w14:paraId="0D20ACB3" w14:textId="48321A9A"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tcPr>
          <w:p w14:paraId="398E074D" w14:textId="6296BFE5"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c>
          <w:tcPr>
            <w:tcW w:w="441" w:type="pct"/>
            <w:noWrap/>
          </w:tcPr>
          <w:p w14:paraId="18BAD843" w14:textId="77D65D16" w:rsidR="0017049C" w:rsidRPr="009B7A5A" w:rsidRDefault="0017049C" w:rsidP="0017049C">
            <w:pPr>
              <w:pStyle w:val="Tabletext"/>
              <w:jc w:val="right"/>
              <w:cnfStyle w:val="000000000000" w:firstRow="0" w:lastRow="0" w:firstColumn="0" w:lastColumn="0" w:oddVBand="0" w:evenVBand="0" w:oddHBand="0" w:evenHBand="0" w:firstRowFirstColumn="0" w:firstRowLastColumn="0" w:lastRowFirstColumn="0" w:lastRowLastColumn="0"/>
            </w:pPr>
            <w:r w:rsidRPr="001969BC">
              <w:t>no limit</w:t>
            </w:r>
          </w:p>
        </w:tc>
      </w:tr>
      <w:tr w:rsidR="00811B73" w:rsidRPr="00B65624" w14:paraId="4AEA3056" w14:textId="77777777" w:rsidTr="0017049C">
        <w:trPr>
          <w:trHeight w:val="300"/>
        </w:trPr>
        <w:tc>
          <w:tcPr>
            <w:cnfStyle w:val="001000000000" w:firstRow="0" w:lastRow="0" w:firstColumn="1" w:lastColumn="0" w:oddVBand="0" w:evenVBand="0" w:oddHBand="0" w:evenHBand="0" w:firstRowFirstColumn="0" w:firstRowLastColumn="0" w:lastRowFirstColumn="0" w:lastRowLastColumn="0"/>
            <w:tcW w:w="369" w:type="pct"/>
            <w:noWrap/>
          </w:tcPr>
          <w:p w14:paraId="746CD514" w14:textId="154D200C" w:rsidR="00811B73" w:rsidRDefault="00811B73" w:rsidP="0017049C">
            <w:pPr>
              <w:pStyle w:val="Tabletext"/>
            </w:pPr>
            <w:r>
              <w:t>2017</w:t>
            </w:r>
          </w:p>
        </w:tc>
        <w:tc>
          <w:tcPr>
            <w:tcW w:w="467" w:type="pct"/>
            <w:noWrap/>
          </w:tcPr>
          <w:p w14:paraId="0E37511C" w14:textId="0BA05A20" w:rsidR="00811B73" w:rsidRPr="009B7A5A"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-200</w:t>
            </w:r>
          </w:p>
        </w:tc>
        <w:tc>
          <w:tcPr>
            <w:tcW w:w="473" w:type="pct"/>
            <w:noWrap/>
          </w:tcPr>
          <w:p w14:paraId="7B2F67ED" w14:textId="21AE4479" w:rsidR="00811B73" w:rsidRPr="009B7A5A"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466" w:type="pct"/>
            <w:noWrap/>
          </w:tcPr>
          <w:p w14:paraId="64B2D73F" w14:textId="358592B0" w:rsidR="00811B73" w:rsidRPr="009B7A5A"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-150</w:t>
            </w:r>
          </w:p>
        </w:tc>
        <w:tc>
          <w:tcPr>
            <w:tcW w:w="455" w:type="pct"/>
            <w:noWrap/>
          </w:tcPr>
          <w:p w14:paraId="3BF8784F" w14:textId="60593906" w:rsidR="00811B73" w:rsidRPr="009B7A5A"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50</w:t>
            </w:r>
          </w:p>
        </w:tc>
        <w:tc>
          <w:tcPr>
            <w:tcW w:w="466" w:type="pct"/>
            <w:noWrap/>
          </w:tcPr>
          <w:p w14:paraId="462C422B" w14:textId="59ED7D7C" w:rsidR="00811B73" w:rsidRPr="009B7A5A"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tcPr>
          <w:p w14:paraId="2AF352CD" w14:textId="06F3E3E1" w:rsidR="00811B73" w:rsidRPr="009B7A5A"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tcPr>
          <w:p w14:paraId="53BC3A85" w14:textId="5579DC72" w:rsidR="00811B73"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-37</w:t>
            </w:r>
          </w:p>
        </w:tc>
        <w:tc>
          <w:tcPr>
            <w:tcW w:w="466" w:type="pct"/>
            <w:noWrap/>
          </w:tcPr>
          <w:p w14:paraId="771DD50F" w14:textId="3F0AD39C" w:rsidR="00811B73"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66" w:type="pct"/>
            <w:noWrap/>
          </w:tcPr>
          <w:p w14:paraId="4E838AFF" w14:textId="1D64EB7B" w:rsidR="00811B73" w:rsidRPr="001969BC"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c>
          <w:tcPr>
            <w:tcW w:w="441" w:type="pct"/>
            <w:noWrap/>
          </w:tcPr>
          <w:p w14:paraId="27783DDE" w14:textId="43AA7F10" w:rsidR="00811B73" w:rsidRPr="001969BC" w:rsidRDefault="00811B73" w:rsidP="0017049C">
            <w:pPr>
              <w:pStyle w:val="Tabletext"/>
              <w:jc w:val="right"/>
              <w:cnfStyle w:val="000000000000" w:firstRow="0" w:lastRow="0" w:firstColumn="0" w:lastColumn="0" w:oddVBand="0" w:evenVBand="0" w:oddHBand="0" w:evenHBand="0" w:firstRowFirstColumn="0" w:firstRowLastColumn="0" w:lastRowFirstColumn="0" w:lastRowLastColumn="0"/>
            </w:pPr>
            <w:r>
              <w:t>no limit</w:t>
            </w:r>
          </w:p>
        </w:tc>
      </w:tr>
    </w:tbl>
    <w:p w14:paraId="574F1D18" w14:textId="77777777" w:rsidR="007A521C" w:rsidRPr="002F3BA6" w:rsidRDefault="007A521C" w:rsidP="00777422">
      <w:pPr>
        <w:pStyle w:val="Notesourcetext"/>
      </w:pPr>
      <w:r w:rsidRPr="009B7A5A">
        <w:t>Note: TL Lower tra</w:t>
      </w:r>
      <w:r>
        <w:t>de limit; TU Upper trade limit.</w:t>
      </w:r>
    </w:p>
    <w:p w14:paraId="111C18A2" w14:textId="77777777" w:rsidR="00173E15" w:rsidRDefault="000633DC" w:rsidP="000633DC">
      <w:pPr>
        <w:pStyle w:val="Heading2"/>
      </w:pPr>
      <w:bookmarkStart w:id="40" w:name="the-problem"/>
      <w:bookmarkStart w:id="41" w:name="_Toc505345860"/>
      <w:bookmarkEnd w:id="40"/>
      <w:r>
        <w:t>Solving for an equilibrium</w:t>
      </w:r>
      <w:bookmarkEnd w:id="41"/>
    </w:p>
    <w:p w14:paraId="7DE9BC70" w14:textId="444C9321" w:rsidR="00173E15" w:rsidRDefault="0014253E">
      <w:r>
        <w:t xml:space="preserve">A solution to the model is given by a set of equilibrium allocation prices </w:t>
      </w:r>
      <m:oMath>
        <m:sSubSup>
          <m:sSubSupPr>
            <m:ctrlPr>
              <w:rPr>
                <w:rFonts w:ascii="Cambria Math" w:hAnsi="Cambria Math"/>
              </w:rPr>
            </m:ctrlPr>
          </m:sSubSupPr>
          <m:e>
            <m:r>
              <w:rPr>
                <w:rFonts w:ascii="Cambria Math" w:hAnsi="Cambria Math"/>
              </w:rPr>
              <m:t>P</m:t>
            </m:r>
          </m:e>
          <m:sub>
            <m:r>
              <w:rPr>
                <w:rFonts w:ascii="Cambria Math" w:hAnsi="Cambria Math"/>
              </w:rPr>
              <m:t>it</m:t>
            </m:r>
          </m:sub>
          <m:sup>
            <m:r>
              <w:rPr>
                <w:rFonts w:ascii="Cambria Math" w:hAnsi="Cambria Math"/>
              </w:rPr>
              <m:t>*</m:t>
            </m:r>
          </m:sup>
        </m:sSubSup>
      </m:oMath>
      <w:r>
        <w:t xml:space="preserve"> for each region (or equivalently net trade volumes) wh</w:t>
      </w:r>
      <w:r w:rsidR="008B664A">
        <w:t>ich maximise water use benefits</w:t>
      </w:r>
      <w:r w:rsidR="006D7FB6">
        <w:t xml:space="preserve"> </w:t>
      </w:r>
      <w:r w:rsidR="0010700C">
        <w:t>based on the integral of the demand function</w:t>
      </w:r>
      <w:r w:rsidR="008B664A">
        <w:t>:</w:t>
      </w:r>
    </w:p>
    <w:p w14:paraId="0AEF20BB" w14:textId="77777777" w:rsidR="00173E15" w:rsidRDefault="00220589">
      <w:pPr>
        <w:pStyle w:val="BodyText"/>
      </w:pPr>
      <m:oMathPara>
        <m:oMathParaPr>
          <m:jc m:val="center"/>
        </m:oMathParaPr>
        <m:oMath>
          <m:limLow>
            <m:limLowPr>
              <m:ctrlPr>
                <w:rPr>
                  <w:rFonts w:ascii="Cambria Math" w:hAnsi="Cambria Math"/>
                </w:rPr>
              </m:ctrlPr>
            </m:limLowPr>
            <m:e>
              <m:r>
                <m:rPr>
                  <m:sty m:val="p"/>
                </m:rPr>
                <w:rPr>
                  <w:rFonts w:ascii="Cambria Math" w:hAnsi="Cambria Math"/>
                </w:rPr>
                <m:t>max</m:t>
              </m:r>
            </m:e>
            <m:lim>
              <m:sSub>
                <m:sSubPr>
                  <m:ctrlPr>
                    <w:rPr>
                      <w:rFonts w:ascii="Cambria Math" w:hAnsi="Cambria Math"/>
                    </w:rPr>
                  </m:ctrlPr>
                </m:sSubPr>
                <m:e>
                  <m:r>
                    <w:rPr>
                      <w:rFonts w:ascii="Cambria Math" w:hAnsi="Cambria Math"/>
                    </w:rPr>
                    <m:t>P</m:t>
                  </m:r>
                </m:e>
                <m:sub>
                  <m:r>
                    <w:rPr>
                      <w:rFonts w:ascii="Cambria Math" w:hAnsi="Cambria Math"/>
                    </w:rPr>
                    <m:t>it</m:t>
                  </m:r>
                </m:sub>
              </m:sSub>
            </m:lim>
          </m:limLow>
          <m:nary>
            <m:naryPr>
              <m:chr m:val="∑"/>
              <m:limLoc m:val="undOvr"/>
              <m:subHide m:val="1"/>
              <m:ctrlPr>
                <w:rPr>
                  <w:rFonts w:ascii="Cambria Math" w:hAnsi="Cambria Math"/>
                </w:rPr>
              </m:ctrlPr>
            </m:naryPr>
            <m:sub/>
            <m:sup>
              <m:r>
                <w:rPr>
                  <w:rFonts w:ascii="Cambria Math" w:hAnsi="Cambria Math"/>
                </w:rPr>
                <m:t>i∈I</m:t>
              </m:r>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sub>
                <m:sup/>
                <m:e>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-1</m:t>
                      </m:r>
                    </m:sup>
                  </m:sSubSup>
                </m:e>
              </m:nary>
            </m:e>
          </m:nary>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oMath>
      </m:oMathPara>
    </w:p>
    <w:p w14:paraId="12C76C25" w14:textId="77777777" w:rsidR="00173E15" w:rsidRPr="005D0960" w:rsidRDefault="008B664A">
      <w:pPr>
        <w:rPr>
          <w:i/>
        </w:rPr>
      </w:pPr>
      <w:r>
        <w:t xml:space="preserve">The solution must </w:t>
      </w:r>
      <w:r w:rsidR="00F72EF4">
        <w:t xml:space="preserve">also </w:t>
      </w:r>
      <w:r>
        <w:t xml:space="preserve">satisfy the market clearing, water demand and water </w:t>
      </w:r>
      <w:r w:rsidR="00BB1AF9">
        <w:t>supply</w:t>
      </w:r>
      <w:r>
        <w:t xml:space="preserve"> conditions </w:t>
      </w:r>
      <w:r w:rsidR="004D5451">
        <w:t>and</w:t>
      </w:r>
      <w:r w:rsidR="000633DC">
        <w:t xml:space="preserve"> trade constraints</w:t>
      </w:r>
      <w:r w:rsidR="004D5451" w:rsidRPr="000633DC">
        <w:t>:</w:t>
      </w:r>
    </w:p>
    <w:p w14:paraId="078C827D" w14:textId="77777777" w:rsidR="00CF3038" w:rsidRDefault="00220589" w:rsidP="00CF3038">
      <w:pPr>
        <w:pStyle w:val="BodyText"/>
      </w:pPr>
      <m:oMathPara>
        <m:oMathParaPr>
          <m:jc m:val="center"/>
        </m:oMathParaPr>
        <m:oMath>
          <m:nary>
            <m:naryPr>
              <m:chr m:val="∑"/>
              <m:limLoc m:val="undOvr"/>
              <m:subHide m:val="1"/>
              <m:ctrlPr>
                <w:rPr>
                  <w:rFonts w:ascii="Cambria Math" w:hAnsi="Cambria Math"/>
                </w:rPr>
              </m:ctrlPr>
            </m:naryPr>
            <m:sub/>
            <m:sup>
              <m:r>
                <w:rPr>
                  <w:rFonts w:ascii="Cambria Math" w:hAnsi="Cambria Math"/>
                </w:rPr>
                <m:t>i∈I</m:t>
              </m:r>
            </m:sup>
            <m:e>
              <m:sSub>
                <m:sSubPr>
                  <m:ctrlPr>
                    <w:rPr>
                      <w:rFonts w:ascii="Cambria Math" w:hAnsi="Cambria Math"/>
                    </w:rPr>
                  </m:ctrlPr>
                </m:sSubPr>
                <m:e>
                  <m:r>
                    <w:rPr>
                      <w:rFonts w:ascii="Cambria Math" w:hAnsi="Cambria Math"/>
                    </w:rPr>
                    <m:t>Δ</m:t>
                  </m:r>
                </m:e>
                <m:sub>
                  <m:r>
                    <w:rPr>
                      <w:rFonts w:ascii="Cambria Math" w:hAnsi="Cambria Math"/>
                    </w:rPr>
                    <m:t>it</m:t>
                  </m:r>
                </m:sub>
              </m:sSub>
            </m:e>
          </m:nary>
          <m:r>
            <w:rPr>
              <w:rFonts w:ascii="Cambria Math" w:hAnsi="Cambria Math"/>
            </w:rPr>
            <m:t>=0  </m:t>
          </m:r>
        </m:oMath>
      </m:oMathPara>
    </w:p>
    <w:p w14:paraId="3476ADFB" w14:textId="77777777" w:rsidR="00CF3038" w:rsidRPr="00BC470A" w:rsidRDefault="00220589" w:rsidP="00BC470A">
      <m:oMathPara>
        <m:oMathParaPr>
          <m:jc m:val="center"/>
        </m:oMathParaPr>
        <m:oMath>
          <m:sSub>
            <m:sSubPr>
              <m:ctrlPr>
                <w:rPr>
                  <w:rFonts w:ascii="Cambria Math" w:hAnsi="Cambria Math"/>
                </w:rPr>
              </m:ctrlPr>
            </m:sSubPr>
            <m:e>
              <m:limLow>
                <m:limLowPr>
                  <m:ctrlPr>
                    <w:rPr>
                      <w:rFonts w:ascii="Cambria Math" w:hAnsi="Cambria Math"/>
                    </w:rPr>
                  </m:ctrlPr>
                </m:limLowPr>
                <m:e>
                  <m:r>
                    <w:rPr>
                      <w:rFonts w:ascii="Cambria Math" w:hAnsi="Cambria Math"/>
                    </w:rPr>
                    <m:t>Δ</m:t>
                  </m:r>
                </m:e>
                <m:lim>
                  <m:r>
                    <w:rPr>
                      <w:rFonts w:ascii="Cambria Math" w:hAnsi="Cambria Math"/>
                    </w:rPr>
                    <m:t>̲</m:t>
                  </m:r>
                </m:lim>
              </m:limLow>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kt</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Δ</m:t>
                  </m:r>
                </m:e>
              </m:bar>
            </m:e>
            <m:sub>
              <m:r>
                <w:rPr>
                  <w:rFonts w:ascii="Cambria Math" w:hAnsi="Cambria Math"/>
                </w:rPr>
                <m:t>kt</m:t>
              </m:r>
            </m:sub>
          </m:sSub>
          <m:r>
            <w:rPr>
              <w:rFonts w:ascii="Cambria Math" w:hAnsi="Cambria Math"/>
            </w:rPr>
            <m:t>  </m:t>
          </m:r>
        </m:oMath>
      </m:oMathPara>
    </w:p>
    <w:p w14:paraId="47FD5558" w14:textId="77777777" w:rsidR="00BC470A" w:rsidRPr="00F26003" w:rsidRDefault="00220589" w:rsidP="00BC470A">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ijt</m:t>
              </m:r>
            </m:sub>
          </m:sSub>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W</m:t>
              </m:r>
            </m:sup>
          </m:s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ijt</m:t>
              </m:r>
            </m:sub>
          </m:sSub>
          <m:r>
            <w:rPr>
              <w:rFonts w:ascii="Cambria Math" w:hAnsi="Cambria Math"/>
            </w:rPr>
            <m:t>)  </m:t>
          </m:r>
        </m:oMath>
      </m:oMathPara>
    </w:p>
    <w:p w14:paraId="5CBFDEAB" w14:textId="77777777" w:rsidR="00173E15" w:rsidRPr="009934A2" w:rsidRDefault="00220589">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nary>
            <m:naryPr>
              <m:chr m:val="∑"/>
              <m:limLoc m:val="undOvr"/>
              <m:subHide m:val="1"/>
              <m:ctrlPr>
                <w:rPr>
                  <w:rFonts w:ascii="Cambria Math" w:hAnsi="Cambria Math"/>
                </w:rPr>
              </m:ctrlPr>
            </m:naryPr>
            <m:sub/>
            <m:sup>
              <m:r>
                <w:rPr>
                  <w:rFonts w:ascii="Cambria Math" w:hAnsi="Cambria Math"/>
                </w:rPr>
                <m:t>j ∈ J</m:t>
              </m:r>
            </m:sup>
            <m:e>
              <m:sSub>
                <m:sSubPr>
                  <m:ctrlPr>
                    <w:rPr>
                      <w:rFonts w:ascii="Cambria Math" w:hAnsi="Cambria Math"/>
                    </w:rPr>
                  </m:ctrlPr>
                </m:sSubPr>
                <m:e>
                  <m:r>
                    <w:rPr>
                      <w:rFonts w:ascii="Cambria Math" w:hAnsi="Cambria Math"/>
                    </w:rPr>
                    <m:t>W</m:t>
                  </m:r>
                </m:e>
                <m:sub>
                  <m:r>
                    <w:rPr>
                      <w:rFonts w:ascii="Cambria Math" w:hAnsi="Cambria Math"/>
                    </w:rPr>
                    <m:t>ijt</m:t>
                  </m:r>
                </m:sub>
              </m:sSub>
            </m:e>
          </m:nary>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it</m:t>
              </m:r>
            </m:sub>
          </m:sSub>
          <m:r>
            <w:rPr>
              <w:rFonts w:ascii="Cambria Math" w:hAnsi="Cambria Math"/>
            </w:rPr>
            <m:t>  </m:t>
          </m:r>
        </m:oMath>
      </m:oMathPara>
    </w:p>
    <w:p w14:paraId="4BC0BA1D" w14:textId="0A91A9C1" w:rsidR="00CD0CC5" w:rsidRDefault="0010700C" w:rsidP="008F3D63">
      <w:bookmarkStart w:id="42" w:name="first-order-conditions"/>
      <w:bookmarkEnd w:id="42"/>
      <w:r>
        <w:t>Rather than directly computing the integral, a set of equilibrium prices are obtained subject to these conditions using a numerical algorithm which</w:t>
      </w:r>
      <w:r w:rsidR="000633DC">
        <w:t xml:space="preserve"> is</w:t>
      </w:r>
      <w:r w:rsidR="00532986">
        <w:t xml:space="preserve"> </w:t>
      </w:r>
      <w:r>
        <w:t xml:space="preserve">further </w:t>
      </w:r>
      <w:r w:rsidR="00532986">
        <w:t>described in Appendix B</w:t>
      </w:r>
      <w:r w:rsidR="000633DC">
        <w:t>.</w:t>
      </w:r>
    </w:p>
    <w:p w14:paraId="3BB0C8CC" w14:textId="1FD09966" w:rsidR="009934A2" w:rsidRDefault="009934A2" w:rsidP="007A521C">
      <w:pPr>
        <w:pStyle w:val="Heading2"/>
      </w:pPr>
      <w:bookmarkStart w:id="43" w:name="_Toc505345861"/>
      <w:r>
        <w:lastRenderedPageBreak/>
        <w:t>Water entitlement prices</w:t>
      </w:r>
      <w:bookmarkEnd w:id="43"/>
    </w:p>
    <w:p w14:paraId="027403CD" w14:textId="3A86AF01" w:rsidR="00370AE0" w:rsidRDefault="0017049C" w:rsidP="00370AE0">
      <w:r>
        <w:t>T</w:t>
      </w:r>
      <w:r w:rsidR="000633DC">
        <w:t xml:space="preserve">he model can also be used to simulate water entitlement prices. </w:t>
      </w:r>
      <w:r w:rsidR="00370AE0">
        <w:t xml:space="preserve">Water entitlements are assets which provide annual returns in the form of water allocations. The simplest approach to valuing entitlements </w:t>
      </w:r>
      <w:r w:rsidR="00A02654">
        <w:t>(ignoring issues of risk)</w:t>
      </w:r>
      <w:r w:rsidR="00777422">
        <w:t xml:space="preserve"> </w:t>
      </w:r>
      <w:r w:rsidR="00A02654">
        <w:t xml:space="preserve">is </w:t>
      </w:r>
      <w:r w:rsidR="00370AE0">
        <w:t xml:space="preserve">to assume that entitlement prices are </w:t>
      </w:r>
      <w:r w:rsidR="00F72EF4">
        <w:t>equal to the</w:t>
      </w:r>
      <w:r w:rsidR="00370AE0">
        <w:t xml:space="preserve"> discounted </w:t>
      </w:r>
      <w:r w:rsidR="00A02654">
        <w:t xml:space="preserve">expected </w:t>
      </w:r>
      <w:r w:rsidR="00370AE0">
        <w:t xml:space="preserve">value of future allocations: </w:t>
      </w:r>
    </w:p>
    <w:p w14:paraId="37C28D70" w14:textId="77777777" w:rsidR="00370AE0" w:rsidRPr="007559C7" w:rsidRDefault="00220589" w:rsidP="00370AE0">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ihs</m:t>
              </m:r>
            </m:sub>
          </m:sSub>
          <m:r>
            <w:rPr>
              <w:rFonts w:ascii="Cambria Math" w:hAnsi="Cambria Math"/>
            </w:rPr>
            <m:t>=</m:t>
          </m:r>
          <m:nary>
            <m:naryPr>
              <m:chr m:val="∑"/>
              <m:limLoc m:val="undOvr"/>
              <m:ctrlPr>
                <w:rPr>
                  <w:rFonts w:ascii="Cambria Math" w:hAnsi="Cambria Math"/>
                </w:rPr>
              </m:ctrlPr>
            </m:naryPr>
            <m:sub>
              <m:r>
                <w:rPr>
                  <w:rFonts w:ascii="Cambria Math" w:hAnsi="Cambria Math"/>
                </w:rPr>
                <m:t>t=s+1</m:t>
              </m:r>
            </m:sub>
            <m:sup>
              <m:r>
                <w:rPr>
                  <w:rFonts w:ascii="Cambria Math" w:hAnsi="Cambria Math"/>
                </w:rPr>
                <m:t>∞</m:t>
              </m:r>
            </m:sup>
            <m:e>
              <m:f>
                <m:fPr>
                  <m:ctrlPr>
                    <w:rPr>
                      <w:rFonts w:ascii="Cambria Math" w:hAnsi="Cambria Math"/>
                    </w:rPr>
                  </m:ctrlPr>
                </m:fPr>
                <m:num>
                  <m:r>
                    <w:rPr>
                      <w:rFonts w:ascii="Cambria Math" w:hAnsi="Cambria Math"/>
                    </w:rPr>
                    <m:t>1</m:t>
                  </m:r>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sSub>
            <m:sSubPr>
              <m:ctrlPr>
                <w:rPr>
                  <w:rFonts w:ascii="Cambria Math" w:hAnsi="Cambria Math"/>
                </w:rPr>
              </m:ctrlPr>
            </m:sSubPr>
            <m:e>
              <m:r>
                <w:rPr>
                  <w:rFonts w:ascii="Cambria Math" w:hAnsi="Cambria Math"/>
                </w:rPr>
                <m:t>E</m:t>
              </m:r>
            </m:e>
            <m:sub>
              <m:r>
                <w:rPr>
                  <w:rFonts w:ascii="Cambria Math" w:hAnsi="Cambria Math"/>
                </w:rPr>
                <m:t>s</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iht</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it</m:t>
                  </m:r>
                </m:sub>
              </m:sSub>
            </m:e>
          </m:d>
        </m:oMath>
      </m:oMathPara>
    </w:p>
    <w:p w14:paraId="3DB8E3D9" w14:textId="77777777" w:rsidR="00370AE0" w:rsidRDefault="00370AE0" w:rsidP="00370AE0">
      <w:r>
        <w:t xml:space="preserve">Where </w:t>
      </w:r>
      <m:oMath>
        <m:sSub>
          <m:sSubPr>
            <m:ctrlPr>
              <w:rPr>
                <w:rFonts w:ascii="Cambria Math" w:hAnsi="Cambria Math"/>
              </w:rPr>
            </m:ctrlPr>
          </m:sSubPr>
          <m:e>
            <m:r>
              <w:rPr>
                <w:rFonts w:ascii="Cambria Math" w:hAnsi="Cambria Math"/>
              </w:rPr>
              <m:t>V</m:t>
            </m:r>
          </m:e>
          <m:sub>
            <m:r>
              <w:rPr>
                <w:rFonts w:ascii="Cambria Math" w:hAnsi="Cambria Math"/>
              </w:rPr>
              <m:t>ihs</m:t>
            </m:r>
          </m:sub>
        </m:sSub>
      </m:oMath>
      <w:r w:rsidRPr="0023456C">
        <w:t xml:space="preserve"> is the price of water entitlement </w:t>
      </w:r>
      <m:oMath>
        <m:r>
          <w:rPr>
            <w:rFonts w:ascii="Cambria Math" w:hAnsi="Cambria Math"/>
          </w:rPr>
          <m:t>h</m:t>
        </m:r>
      </m:oMath>
      <w:r>
        <w:t xml:space="preserve"> in region </w:t>
      </w:r>
      <m:oMath>
        <m:r>
          <w:rPr>
            <w:rFonts w:ascii="Cambria Math" w:hAnsi="Cambria Math"/>
          </w:rPr>
          <m:t>i</m:t>
        </m:r>
      </m:oMath>
      <w:r w:rsidRPr="0023456C">
        <w:t xml:space="preserve"> period </w:t>
      </w:r>
      <m:oMath>
        <m:r>
          <w:rPr>
            <w:rFonts w:ascii="Cambria Math" w:hAnsi="Cambria Math"/>
          </w:rPr>
          <m:t>s</m:t>
        </m:r>
      </m:oMath>
      <w:r>
        <w:t xml:space="preserve"> and </w:t>
      </w:r>
      <w:r>
        <w:rPr>
          <w:i/>
        </w:rPr>
        <w:t>r</w:t>
      </w:r>
      <w:r>
        <w:t xml:space="preserve"> </w:t>
      </w:r>
      <w:r w:rsidR="007559C7">
        <w:t>is the discount rate parameter.</w:t>
      </w:r>
      <w:r w:rsidRPr="0023456C">
        <w:t xml:space="preserve"> </w:t>
      </w:r>
    </w:p>
    <w:p w14:paraId="7909C45C" w14:textId="5BF497B2" w:rsidR="00370AE0" w:rsidRPr="0023456C" w:rsidRDefault="003178C3" w:rsidP="00370AE0">
      <w:r>
        <w:t>In th</w:t>
      </w:r>
      <w:r w:rsidR="00A02654">
        <w:t>e</w:t>
      </w:r>
      <w:r w:rsidR="00370AE0">
        <w:t xml:space="preserve"> model</w:t>
      </w:r>
      <w:r>
        <w:t xml:space="preserve">, </w:t>
      </w:r>
      <w:r w:rsidR="00370AE0">
        <w:t>the unobservable expectation</w:t>
      </w:r>
      <w:r w:rsidR="00370AE0" w:rsidRPr="0023456C">
        <w:t xml:space="preserve"> </w:t>
      </w:r>
      <m:oMath>
        <m:sSub>
          <m:sSubPr>
            <m:ctrlPr>
              <w:rPr>
                <w:rFonts w:ascii="Cambria Math" w:hAnsi="Cambria Math"/>
              </w:rPr>
            </m:ctrlPr>
          </m:sSubPr>
          <m:e>
            <m:r>
              <w:rPr>
                <w:rFonts w:ascii="Cambria Math" w:hAnsi="Cambria Math"/>
              </w:rPr>
              <m:t>E</m:t>
            </m:r>
          </m:e>
          <m:sub>
            <m:r>
              <w:rPr>
                <w:rFonts w:ascii="Cambria Math" w:hAnsi="Cambria Math"/>
              </w:rPr>
              <m:t>s</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iht</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e>
        </m:d>
      </m:oMath>
      <w:r w:rsidR="00370AE0" w:rsidRPr="0023456C">
        <w:t xml:space="preserve"> </w:t>
      </w:r>
      <w:r w:rsidR="00F72EF4">
        <w:t>is replaced</w:t>
      </w:r>
      <w:r>
        <w:t xml:space="preserve"> with</w:t>
      </w:r>
      <w:r w:rsidR="00370AE0" w:rsidRPr="0023456C">
        <w:t xml:space="preserve"> the sample average for the </w:t>
      </w:r>
      <w:r w:rsidR="00E0072F">
        <w:t>period 2002–03 to 2016–17</w:t>
      </w:r>
      <w:r w:rsidR="00370AE0" w:rsidRPr="0023456C">
        <w:t>. Water entitlement prices can then be approximated as:</w:t>
      </w:r>
    </w:p>
    <w:p w14:paraId="06BEF709" w14:textId="210933F1" w:rsidR="00370AE0" w:rsidRPr="007559C7" w:rsidRDefault="00220589" w:rsidP="00370AE0">
      <m:oMathPara>
        <m:oMathParaPr>
          <m:jc m:val="center"/>
        </m:oMathParaPr>
        <m:oMath>
          <m:sSub>
            <m:sSubPr>
              <m:ctrlPr>
                <w:rPr>
                  <w:rFonts w:ascii="Cambria Math" w:hAnsi="Cambria Math"/>
                </w:rPr>
              </m:ctrlPr>
            </m:sSubPr>
            <m:e>
              <m:r>
                <w:rPr>
                  <w:rFonts w:ascii="Cambria Math" w:hAnsi="Cambria Math"/>
                </w:rPr>
                <m:t>V</m:t>
              </m:r>
            </m:e>
            <m:sub>
              <m:r>
                <w:rPr>
                  <w:rFonts w:ascii="Cambria Math" w:hAnsi="Cambria Math"/>
                </w:rPr>
                <m:t>ihs</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r</m:t>
                  </m:r>
                </m:den>
              </m:f>
            </m:e>
          </m:d>
          <m:f>
            <m:fPr>
              <m:ctrlPr>
                <w:rPr>
                  <w:rFonts w:ascii="Cambria Math" w:hAnsi="Cambria Math"/>
                </w:rPr>
              </m:ctrlPr>
            </m:fPr>
            <m:num>
              <m:r>
                <w:rPr>
                  <w:rFonts w:ascii="Cambria Math" w:hAnsi="Cambria Math"/>
                </w:rPr>
                <m:t>1</m:t>
              </m:r>
            </m:num>
            <m:den>
              <m:r>
                <w:rPr>
                  <w:rFonts w:ascii="Cambria Math" w:hAnsi="Cambria Math"/>
                </w:rPr>
                <m:t>15</m:t>
              </m:r>
            </m:den>
          </m:f>
          <m:nary>
            <m:naryPr>
              <m:chr m:val="∑"/>
              <m:limLoc m:val="undOvr"/>
              <m:ctrlPr>
                <w:rPr>
                  <w:rFonts w:ascii="Cambria Math" w:hAnsi="Cambria Math"/>
                </w:rPr>
              </m:ctrlPr>
            </m:naryPr>
            <m:sub>
              <m:r>
                <w:rPr>
                  <w:rFonts w:ascii="Cambria Math" w:hAnsi="Cambria Math"/>
                </w:rPr>
                <m:t>t=2003</m:t>
              </m:r>
            </m:sub>
            <m:sup>
              <m:r>
                <w:rPr>
                  <w:rFonts w:ascii="Cambria Math" w:hAnsi="Cambria Math"/>
                </w:rPr>
                <m:t>t=2017</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iht</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 xml:space="preserve">     (9)</m:t>
              </m:r>
            </m:e>
          </m:nary>
        </m:oMath>
      </m:oMathPara>
    </w:p>
    <w:p w14:paraId="6717C040" w14:textId="029E6CDE" w:rsidR="009934A2" w:rsidRDefault="00370AE0" w:rsidP="007559C7">
      <w:r>
        <w:t>This approach assumes that historical water availability and market conditions are a reasonable reflection of future expectations.</w:t>
      </w:r>
      <w:r w:rsidR="00644148">
        <w:t xml:space="preserve"> </w:t>
      </w:r>
      <w:r>
        <w:t>As such, when attempting to predict current entitlement prices the model baseline is adjusted such that current levels of environmental water recovery are applied from the beginning of the period.</w:t>
      </w:r>
      <w:r w:rsidR="00644148">
        <w:t xml:space="preserve"> </w:t>
      </w:r>
      <w:r>
        <w:t xml:space="preserve">A </w:t>
      </w:r>
      <w:r w:rsidR="00A02654">
        <w:t xml:space="preserve">real </w:t>
      </w:r>
      <w:r>
        <w:t xml:space="preserve">discount rate of </w:t>
      </w:r>
      <w:r w:rsidR="00952374">
        <w:t>7</w:t>
      </w:r>
      <w:r>
        <w:t> per cent was assumed for this report.</w:t>
      </w:r>
    </w:p>
    <w:p w14:paraId="153748FE" w14:textId="77777777" w:rsidR="00C51E41" w:rsidRDefault="00AA7649" w:rsidP="00C51E41">
      <w:pPr>
        <w:pStyle w:val="Heading1"/>
      </w:pPr>
      <w:bookmarkStart w:id="44" w:name="water-allocations-and-entitlements"/>
      <w:bookmarkStart w:id="45" w:name="_Toc505345862"/>
      <w:bookmarkEnd w:id="44"/>
      <w:r>
        <w:lastRenderedPageBreak/>
        <w:t>Estimation</w:t>
      </w:r>
      <w:bookmarkEnd w:id="45"/>
    </w:p>
    <w:p w14:paraId="3A4F060E" w14:textId="516C7BCD" w:rsidR="000D13F4" w:rsidRDefault="000D13F4" w:rsidP="000D13F4">
      <w:r>
        <w:t xml:space="preserve">Parameters for the land use, water application rate and other water use functions (equations 2, 3 and 5) were estimated via </w:t>
      </w:r>
      <w:r w:rsidR="00741A66">
        <w:t xml:space="preserve">linear </w:t>
      </w:r>
      <w:r>
        <w:t xml:space="preserve">Ordinary Least Squares (OLS) regression. </w:t>
      </w:r>
      <w:r w:rsidR="007E7595">
        <w:t xml:space="preserve">Regression results are presented </w:t>
      </w:r>
      <w:r w:rsidR="00B63CC6">
        <w:t>below;</w:t>
      </w:r>
      <w:r w:rsidR="007E7595">
        <w:t xml:space="preserve"> further detail including standard diagnostic tests are available on request. </w:t>
      </w:r>
      <w:r>
        <w:t>To ensure theoretically plausible results (</w:t>
      </w:r>
      <w:r w:rsidR="00A02654">
        <w:t>including</w:t>
      </w:r>
      <w:r>
        <w:t xml:space="preserve"> downward sloping demand functions) constraints are applied to mode</w:t>
      </w:r>
      <w:r w:rsidR="00B63CC6">
        <w:t>l coefficients. However</w:t>
      </w:r>
      <w:r>
        <w:t xml:space="preserve">, </w:t>
      </w:r>
      <w:r w:rsidR="00B63CC6">
        <w:t xml:space="preserve">as shown in the following sections, </w:t>
      </w:r>
      <w:r>
        <w:t xml:space="preserve">these are rarely binding. </w:t>
      </w:r>
    </w:p>
    <w:p w14:paraId="04A819BC" w14:textId="5FD632E6" w:rsidR="00766B1A" w:rsidRDefault="000D13F4" w:rsidP="00401CAD">
      <w:r>
        <w:t xml:space="preserve">In testing, a variety of functional forms for these regression models were considered, with simple linear forms ultimately being adopted. Throughout this testing phase, </w:t>
      </w:r>
      <w:r w:rsidR="00321C26">
        <w:t xml:space="preserve">more </w:t>
      </w:r>
      <w:r>
        <w:t xml:space="preserve">focus was placed on the </w:t>
      </w:r>
      <w:r w:rsidR="00321C26">
        <w:t>performance</w:t>
      </w:r>
      <w:r>
        <w:t xml:space="preserve"> of model outputs (as measured through validation tests, see </w:t>
      </w:r>
      <w:r w:rsidR="00F85C2D">
        <w:t>chapter</w:t>
      </w:r>
      <w:r>
        <w:t xml:space="preserve"> 5) </w:t>
      </w:r>
      <w:r w:rsidR="007E7595">
        <w:t xml:space="preserve">than </w:t>
      </w:r>
      <w:r>
        <w:t xml:space="preserve">the in-sample fit of the </w:t>
      </w:r>
      <w:r w:rsidR="00321C26">
        <w:t xml:space="preserve">individual </w:t>
      </w:r>
      <w:r>
        <w:t>regression models themselves. A more formal structural estimation approach (</w:t>
      </w:r>
      <w:r w:rsidR="0078209B">
        <w:t xml:space="preserve">where </w:t>
      </w:r>
      <w:r>
        <w:t xml:space="preserve">model equations are estimated simultaneously) remains a </w:t>
      </w:r>
      <w:r w:rsidR="00A02654">
        <w:t xml:space="preserve">potential </w:t>
      </w:r>
      <w:r w:rsidR="00B63CC6">
        <w:t>topic</w:t>
      </w:r>
      <w:r>
        <w:t xml:space="preserve"> for future research</w:t>
      </w:r>
      <w:r w:rsidR="00766B1A">
        <w:t xml:space="preserve">. </w:t>
      </w:r>
    </w:p>
    <w:p w14:paraId="3FF0022F" w14:textId="77777777" w:rsidR="002D5DBA" w:rsidRDefault="005E760D" w:rsidP="00B06720">
      <w:pPr>
        <w:pStyle w:val="Heading2"/>
      </w:pPr>
      <w:bookmarkStart w:id="46" w:name="_Toc505345863"/>
      <w:r>
        <w:t>Irrigation land use</w:t>
      </w:r>
      <w:bookmarkEnd w:id="46"/>
    </w:p>
    <w:p w14:paraId="7590AA73" w14:textId="77777777" w:rsidR="002D5DBA" w:rsidRPr="007E7595" w:rsidRDefault="00B06720" w:rsidP="002D5DBA">
      <w:r w:rsidRPr="007E7595">
        <w:t>For</w:t>
      </w:r>
      <w:r w:rsidR="002D5DBA" w:rsidRPr="007E7595">
        <w:t xml:space="preserve"> equation 2, we fit the following model</w:t>
      </w:r>
      <w:r w:rsidRPr="007E7595">
        <w:t xml:space="preserve"> for each region</w:t>
      </w:r>
      <w:r w:rsidR="00190D4C" w:rsidRPr="007E7595">
        <w:t xml:space="preserve"> and activity</w:t>
      </w:r>
      <w:r w:rsidR="002D5DBA" w:rsidRPr="007E7595">
        <w:t>:</w:t>
      </w:r>
    </w:p>
    <w:p w14:paraId="49E7F4C3" w14:textId="77777777" w:rsidR="002D5DBA" w:rsidRPr="007E7595" w:rsidRDefault="00220589" w:rsidP="002D5DBA">
      <w:pPr>
        <w:pStyle w:val="BodyText"/>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ijt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0i</m:t>
              </m:r>
            </m:sub>
            <m:sup>
              <m:r>
                <w:rPr>
                  <w:rFonts w:ascii="Cambria Math" w:hAnsi="Cambria Math"/>
                </w:rPr>
                <m:t>L</m:t>
              </m:r>
            </m:sup>
          </m:sSubSup>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1ij</m:t>
              </m:r>
            </m:sub>
            <m:sup>
              <m:r>
                <w:rPr>
                  <w:rFonts w:ascii="Cambria Math" w:hAnsi="Cambria Math"/>
                </w:rPr>
                <m:t>L</m:t>
              </m:r>
            </m:sup>
          </m:sSub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2ij</m:t>
              </m:r>
            </m:sub>
            <m:sup>
              <m:r>
                <w:rPr>
                  <w:rFonts w:ascii="Cambria Math" w:hAnsi="Cambria Math"/>
                </w:rPr>
                <m:t>L</m:t>
              </m:r>
            </m:sup>
          </m:sSubSup>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3ij</m:t>
              </m:r>
            </m:sub>
            <m:sup>
              <m:r>
                <w:rPr>
                  <w:rFonts w:ascii="Cambria Math" w:hAnsi="Cambria Math"/>
                </w:rPr>
                <m:t>L</m:t>
              </m:r>
            </m:sup>
          </m:sSubSup>
          <m:sSub>
            <m:sSubPr>
              <m:ctrlPr>
                <w:rPr>
                  <w:rFonts w:ascii="Cambria Math" w:hAnsi="Cambria Math"/>
                </w:rPr>
              </m:ctrlPr>
            </m:sSubPr>
            <m:e>
              <m:r>
                <w:rPr>
                  <w:rFonts w:ascii="Cambria Math" w:hAnsi="Cambria Math"/>
                </w:rPr>
                <m:t>Y</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4ij</m:t>
              </m:r>
            </m:sub>
            <m:sup>
              <m:r>
                <w:rPr>
                  <w:rFonts w:ascii="Cambria Math" w:hAnsi="Cambria Math"/>
                </w:rPr>
                <m:t>L</m:t>
              </m:r>
            </m:sup>
          </m:sSubSup>
          <m:r>
            <w:rPr>
              <w:rFonts w:ascii="Cambria Math" w:hAnsi="Cambria Math"/>
            </w:rPr>
            <m:t>.t  (10)</m:t>
          </m:r>
        </m:oMath>
      </m:oMathPara>
    </w:p>
    <w:p w14:paraId="62A5C7C3" w14:textId="77777777" w:rsidR="00B06720" w:rsidRPr="007E7595" w:rsidRDefault="00B06720" w:rsidP="00B06720">
      <w:r w:rsidRPr="007E7595">
        <w:t xml:space="preserve">subject to the following constraints: </w:t>
      </w:r>
    </w:p>
    <w:p w14:paraId="0CED6566" w14:textId="77777777" w:rsidR="00B06720" w:rsidRPr="00F72EF4" w:rsidRDefault="00220589" w:rsidP="00B06720">
      <w:pPr>
        <w:pStyle w:val="BodyText"/>
      </w:pPr>
      <m:oMathPara>
        <m:oMathParaPr>
          <m:jc m:val="center"/>
        </m:oMathParaPr>
        <m:oMath>
          <m:sSubSup>
            <m:sSubSupPr>
              <m:ctrlPr>
                <w:rPr>
                  <w:rFonts w:ascii="Cambria Math" w:hAnsi="Cambria Math"/>
                </w:rPr>
              </m:ctrlPr>
            </m:sSubSupPr>
            <m:e>
              <m:r>
                <w:rPr>
                  <w:rFonts w:ascii="Cambria Math" w:hAnsi="Cambria Math"/>
                </w:rPr>
                <m:t>β</m:t>
              </m:r>
            </m:e>
            <m:sub>
              <m:r>
                <w:rPr>
                  <w:rFonts w:ascii="Cambria Math" w:hAnsi="Cambria Math"/>
                </w:rPr>
                <m:t>1ij</m:t>
              </m:r>
            </m:sub>
            <m:sup>
              <m:r>
                <w:rPr>
                  <w:rFonts w:ascii="Cambria Math" w:hAnsi="Cambria Math"/>
                </w:rPr>
                <m:t>L</m:t>
              </m:r>
            </m:sup>
          </m:sSubSup>
          <m:r>
            <w:rPr>
              <w:rFonts w:ascii="Cambria Math" w:hAnsi="Cambria Math"/>
            </w:rPr>
            <m:t>&lt;0,</m:t>
          </m:r>
          <m:sSubSup>
            <m:sSubSupPr>
              <m:ctrlPr>
                <w:rPr>
                  <w:rFonts w:ascii="Cambria Math" w:hAnsi="Cambria Math"/>
                </w:rPr>
              </m:ctrlPr>
            </m:sSubSupPr>
            <m:e>
              <m:r>
                <w:rPr>
                  <w:rFonts w:ascii="Cambria Math" w:hAnsi="Cambria Math"/>
                </w:rPr>
                <m:t>β</m:t>
              </m:r>
            </m:e>
            <m:sub>
              <m:r>
                <w:rPr>
                  <w:rFonts w:ascii="Cambria Math" w:hAnsi="Cambria Math"/>
                </w:rPr>
                <m:t>3ij</m:t>
              </m:r>
            </m:sub>
            <m:sup>
              <m:r>
                <w:rPr>
                  <w:rFonts w:ascii="Cambria Math" w:hAnsi="Cambria Math"/>
                </w:rPr>
                <m:t>L</m:t>
              </m:r>
            </m:sup>
          </m:sSubSup>
          <m:r>
            <w:rPr>
              <w:rFonts w:ascii="Cambria Math" w:hAnsi="Cambria Math"/>
            </w:rPr>
            <m:t>&gt;0</m:t>
          </m:r>
        </m:oMath>
      </m:oMathPara>
    </w:p>
    <w:p w14:paraId="0A57C091" w14:textId="376B8D61" w:rsidR="00B06720" w:rsidRDefault="002C03FB" w:rsidP="00A75026">
      <w:pPr>
        <w:pStyle w:val="BodyText1"/>
      </w:pPr>
      <w:r>
        <w:t xml:space="preserve">As discussed </w:t>
      </w:r>
      <w:r w:rsidR="00C72CD9">
        <w:t>irrigated area</w:t>
      </w:r>
      <w:r w:rsidR="00AA13C5">
        <w:t xml:space="preserve"> for perennial activities</w:t>
      </w:r>
      <w:r w:rsidR="00B06720">
        <w:t xml:space="preserve"> </w:t>
      </w:r>
      <w:r w:rsidR="00A75026">
        <w:t xml:space="preserve">is </w:t>
      </w:r>
      <w:r w:rsidR="00A02654">
        <w:t xml:space="preserve">currently </w:t>
      </w:r>
      <w:r w:rsidR="00A75026">
        <w:t>treated as exogenous. Tables</w:t>
      </w:r>
      <w:r w:rsidR="00D07D43">
        <w:t xml:space="preserve"> 6</w:t>
      </w:r>
      <w:r>
        <w:t xml:space="preserve"> –</w:t>
      </w:r>
      <w:r w:rsidR="00670D13">
        <w:t xml:space="preserve"> 1</w:t>
      </w:r>
      <w:r w:rsidR="00D07D43">
        <w:t>3</w:t>
      </w:r>
      <w:r w:rsidR="00670D13">
        <w:t xml:space="preserve"> </w:t>
      </w:r>
      <w:r>
        <w:t>show</w:t>
      </w:r>
      <w:r w:rsidR="00A75026">
        <w:t xml:space="preserve"> the results of model estimation for</w:t>
      </w:r>
      <w:r>
        <w:t xml:space="preserve"> land use</w:t>
      </w:r>
      <w:r w:rsidR="0098627B">
        <w:t xml:space="preserve"> for annual irrigation activities</w:t>
      </w:r>
      <w:r>
        <w:t xml:space="preserve"> in each region</w:t>
      </w:r>
      <w:r w:rsidR="00A75026">
        <w:t>.</w:t>
      </w:r>
      <w:r w:rsidR="00263726">
        <w:t xml:space="preserve"> </w:t>
      </w:r>
      <w:r w:rsidR="005E760D">
        <w:t xml:space="preserve">Note that the sample size for each of these models is </w:t>
      </w:r>
      <w:r w:rsidR="00E0072F">
        <w:t>11 (2005–06 to 2015–16</w:t>
      </w:r>
      <w:r w:rsidR="00B63CC6">
        <w:t>)</w:t>
      </w:r>
      <w:r w:rsidR="005E760D">
        <w:t>.</w:t>
      </w:r>
    </w:p>
    <w:p w14:paraId="63832B3A" w14:textId="5AF0DBE9" w:rsidR="00B32079" w:rsidRDefault="00B32079" w:rsidP="00B32079">
      <w:pPr>
        <w:pStyle w:val="BodyText1"/>
      </w:pPr>
      <w:r>
        <w:t xml:space="preserve">In Tables </w:t>
      </w:r>
      <w:r w:rsidR="00D07D43">
        <w:t>6</w:t>
      </w:r>
      <w:r>
        <w:t xml:space="preserve"> – 13 omitted variables are the result of parameters not satisfying the constraints set out above. In all cases</w:t>
      </w:r>
      <w:r w:rsidR="005E760D">
        <w:t>,</w:t>
      </w:r>
      <w:r>
        <w:t xml:space="preserve"> except for vegetables in the VIC Goulburn-Broken and VIC Loddon-Campaspe regions, </w:t>
      </w:r>
      <w:r w:rsidR="00AA13C5">
        <w:t xml:space="preserve">and other broadacre in SA Murray, </w:t>
      </w:r>
      <w:r>
        <w:t xml:space="preserve">the parameters for water allocation price </w:t>
      </w:r>
      <w:r w:rsidR="005E760D">
        <w:t>have the desired</w:t>
      </w:r>
      <w:r>
        <w:t xml:space="preserve"> negative</w:t>
      </w:r>
      <w:r w:rsidR="005E760D">
        <w:t xml:space="preserve"> sign</w:t>
      </w:r>
      <w:r>
        <w:t>.</w:t>
      </w:r>
      <w:r w:rsidR="005E760D">
        <w:t xml:space="preserve"> Further, </w:t>
      </w:r>
      <w:r w:rsidR="00B63CC6">
        <w:t>the majority of</w:t>
      </w:r>
      <w:r w:rsidR="005E760D">
        <w:t xml:space="preserve"> price coefficients are significant at the five per cent level.</w:t>
      </w:r>
    </w:p>
    <w:p w14:paraId="3A1E44E2" w14:textId="1EB6DC69" w:rsidR="00B32079" w:rsidRDefault="00B32079" w:rsidP="00A75026">
      <w:pPr>
        <w:pStyle w:val="BodyText1"/>
      </w:pPr>
      <w:r>
        <w:t>Note tha</w:t>
      </w:r>
      <w:r w:rsidR="00C72CD9">
        <w:t>t while ABS data suggests that r</w:t>
      </w:r>
      <w:r>
        <w:t>ice activity occurs in Victorian regions, it remains close to zero in most years and well below the levels observed in NSW.</w:t>
      </w:r>
      <w:r w:rsidR="00644148">
        <w:t xml:space="preserve"> </w:t>
      </w:r>
      <w:r>
        <w:t xml:space="preserve">Based on available </w:t>
      </w:r>
      <w:r w:rsidR="009F117A">
        <w:t>AB</w:t>
      </w:r>
      <w:r w:rsidR="00A02654">
        <w:t xml:space="preserve">S and ABARES </w:t>
      </w:r>
      <w:r>
        <w:t xml:space="preserve">data, </w:t>
      </w:r>
      <w:r w:rsidR="00C72CD9">
        <w:t>c</w:t>
      </w:r>
      <w:r w:rsidR="00AA13C5">
        <w:t xml:space="preserve">otton and </w:t>
      </w:r>
      <w:r w:rsidR="00C72CD9">
        <w:t>r</w:t>
      </w:r>
      <w:r w:rsidR="00AA13C5">
        <w:t>ice are not</w:t>
      </w:r>
      <w:r>
        <w:t xml:space="preserve"> </w:t>
      </w:r>
      <w:r w:rsidR="00EE68F9">
        <w:t>grown</w:t>
      </w:r>
      <w:r>
        <w:t xml:space="preserve"> in the SA Murray</w:t>
      </w:r>
      <w:r w:rsidR="00A02654">
        <w:t>,</w:t>
      </w:r>
      <w:r>
        <w:t xml:space="preserve"> and </w:t>
      </w:r>
      <w:r w:rsidR="00AA13C5">
        <w:t>are</w:t>
      </w:r>
      <w:r>
        <w:t xml:space="preserve"> excluded from model estimation for this region (</w:t>
      </w:r>
      <w:r>
        <w:fldChar w:fldCharType="begin"/>
      </w:r>
      <w:r>
        <w:instrText xml:space="preserve"> REF _Ref486528775 \h </w:instrText>
      </w:r>
      <w:r>
        <w:fldChar w:fldCharType="separate"/>
      </w:r>
      <w:r w:rsidR="00F709AB">
        <w:t xml:space="preserve">Table </w:t>
      </w:r>
      <w:r w:rsidR="00F709AB">
        <w:rPr>
          <w:noProof/>
        </w:rPr>
        <w:t>13</w:t>
      </w:r>
      <w:r>
        <w:fldChar w:fldCharType="end"/>
      </w:r>
      <w:r w:rsidR="007559C7">
        <w:t>).</w:t>
      </w:r>
    </w:p>
    <w:p w14:paraId="364572C3" w14:textId="77777777" w:rsidR="00CD0CC5" w:rsidRDefault="00CD0CC5">
      <w:pPr>
        <w:spacing w:after="0" w:line="240" w:lineRule="auto"/>
      </w:pPr>
      <w:r>
        <w:br w:type="page"/>
      </w:r>
    </w:p>
    <w:p w14:paraId="21506275" w14:textId="77777777" w:rsidR="002C03FB" w:rsidRDefault="002C03FB" w:rsidP="002C03FB">
      <w:pPr>
        <w:pStyle w:val="Caption"/>
      </w:pPr>
      <w:bookmarkStart w:id="47" w:name="_Toc491356911"/>
      <w:bookmarkStart w:id="48" w:name="_Toc505345889"/>
      <w:r>
        <w:lastRenderedPageBreak/>
        <w:t xml:space="preserve">Table </w:t>
      </w:r>
      <w:r w:rsidR="00915ABD">
        <w:fldChar w:fldCharType="begin"/>
      </w:r>
      <w:r>
        <w:instrText xml:space="preserve"> SEQ Table \* ARABIC </w:instrText>
      </w:r>
      <w:r w:rsidR="00915ABD">
        <w:fldChar w:fldCharType="separate"/>
      </w:r>
      <w:r w:rsidR="00F709AB">
        <w:rPr>
          <w:noProof/>
        </w:rPr>
        <w:t>6</w:t>
      </w:r>
      <w:r w:rsidR="00915ABD">
        <w:fldChar w:fldCharType="end"/>
      </w:r>
      <w:r w:rsidR="006E24BC">
        <w:t xml:space="preserve"> Regression</w:t>
      </w:r>
      <w:r>
        <w:t xml:space="preserve"> results for land use by irrigation activity</w:t>
      </w:r>
      <w:r w:rsidR="00681A7A">
        <w:t>, NSW Murrumbidgee</w:t>
      </w:r>
      <w:bookmarkEnd w:id="47"/>
      <w:bookmarkEnd w:id="48"/>
    </w:p>
    <w:tbl>
      <w:tblPr>
        <w:tblW w:w="5000" w:type="pct"/>
        <w:tblLook w:val="04A0" w:firstRow="1" w:lastRow="0" w:firstColumn="1" w:lastColumn="0" w:noHBand="0" w:noVBand="1"/>
      </w:tblPr>
      <w:tblGrid>
        <w:gridCol w:w="1552"/>
        <w:gridCol w:w="1074"/>
        <w:gridCol w:w="984"/>
        <w:gridCol w:w="1302"/>
        <w:gridCol w:w="1333"/>
        <w:gridCol w:w="1223"/>
        <w:gridCol w:w="1031"/>
        <w:gridCol w:w="571"/>
      </w:tblGrid>
      <w:tr w:rsidR="00E37084" w:rsidRPr="00E37084" w14:paraId="7E7FDBEC" w14:textId="77777777" w:rsidTr="00E37084">
        <w:trPr>
          <w:trHeight w:val="510"/>
        </w:trPr>
        <w:tc>
          <w:tcPr>
            <w:tcW w:w="856" w:type="pct"/>
            <w:tcBorders>
              <w:top w:val="single" w:sz="4" w:space="0" w:color="auto"/>
              <w:left w:val="nil"/>
              <w:bottom w:val="single" w:sz="4" w:space="0" w:color="auto"/>
              <w:right w:val="nil"/>
            </w:tcBorders>
            <w:shd w:val="clear" w:color="auto" w:fill="auto"/>
            <w:noWrap/>
            <w:vAlign w:val="center"/>
            <w:hideMark/>
          </w:tcPr>
          <w:p w14:paraId="61F0EE21"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592" w:type="pct"/>
            <w:tcBorders>
              <w:top w:val="single" w:sz="4" w:space="0" w:color="auto"/>
              <w:left w:val="nil"/>
              <w:bottom w:val="single" w:sz="4" w:space="0" w:color="auto"/>
              <w:right w:val="nil"/>
            </w:tcBorders>
            <w:shd w:val="clear" w:color="auto" w:fill="auto"/>
            <w:noWrap/>
            <w:vAlign w:val="center"/>
            <w:hideMark/>
          </w:tcPr>
          <w:p w14:paraId="72EC566E"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42" w:type="pct"/>
            <w:tcBorders>
              <w:top w:val="single" w:sz="4" w:space="0" w:color="auto"/>
              <w:left w:val="nil"/>
              <w:bottom w:val="single" w:sz="4" w:space="0" w:color="auto"/>
              <w:right w:val="nil"/>
            </w:tcBorders>
            <w:shd w:val="clear" w:color="auto" w:fill="auto"/>
            <w:noWrap/>
            <w:vAlign w:val="center"/>
            <w:hideMark/>
          </w:tcPr>
          <w:p w14:paraId="6FBCB01F"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718" w:type="pct"/>
            <w:tcBorders>
              <w:top w:val="single" w:sz="4" w:space="0" w:color="auto"/>
              <w:left w:val="nil"/>
              <w:bottom w:val="single" w:sz="4" w:space="0" w:color="auto"/>
              <w:right w:val="nil"/>
            </w:tcBorders>
            <w:shd w:val="clear" w:color="auto" w:fill="auto"/>
            <w:vAlign w:val="center"/>
            <w:hideMark/>
          </w:tcPr>
          <w:p w14:paraId="34BD8056"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Output price (Y)</w:t>
            </w:r>
          </w:p>
        </w:tc>
        <w:tc>
          <w:tcPr>
            <w:tcW w:w="735" w:type="pct"/>
            <w:tcBorders>
              <w:top w:val="single" w:sz="4" w:space="0" w:color="auto"/>
              <w:left w:val="nil"/>
              <w:bottom w:val="single" w:sz="4" w:space="0" w:color="auto"/>
              <w:right w:val="nil"/>
            </w:tcBorders>
            <w:shd w:val="clear" w:color="auto" w:fill="auto"/>
            <w:vAlign w:val="center"/>
            <w:hideMark/>
          </w:tcPr>
          <w:p w14:paraId="2D40C6A3" w14:textId="77777777" w:rsid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p>
          <w:p w14:paraId="64F12C72" w14:textId="2911203A"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(CY)</w:t>
            </w:r>
          </w:p>
        </w:tc>
        <w:tc>
          <w:tcPr>
            <w:tcW w:w="674" w:type="pct"/>
            <w:tcBorders>
              <w:top w:val="single" w:sz="4" w:space="0" w:color="auto"/>
              <w:left w:val="nil"/>
              <w:bottom w:val="single" w:sz="4" w:space="0" w:color="auto"/>
              <w:right w:val="nil"/>
            </w:tcBorders>
            <w:shd w:val="clear" w:color="auto" w:fill="auto"/>
            <w:noWrap/>
            <w:vAlign w:val="center"/>
            <w:hideMark/>
          </w:tcPr>
          <w:p w14:paraId="1342FD04"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68" w:type="pct"/>
            <w:tcBorders>
              <w:top w:val="single" w:sz="4" w:space="0" w:color="auto"/>
              <w:left w:val="nil"/>
              <w:bottom w:val="single" w:sz="4" w:space="0" w:color="auto"/>
              <w:right w:val="nil"/>
            </w:tcBorders>
            <w:shd w:val="clear" w:color="auto" w:fill="auto"/>
            <w:noWrap/>
            <w:vAlign w:val="center"/>
            <w:hideMark/>
          </w:tcPr>
          <w:p w14:paraId="0BF12FA3"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15" w:type="pct"/>
            <w:tcBorders>
              <w:top w:val="single" w:sz="4" w:space="0" w:color="auto"/>
              <w:left w:val="nil"/>
              <w:bottom w:val="single" w:sz="4" w:space="0" w:color="auto"/>
              <w:right w:val="nil"/>
            </w:tcBorders>
            <w:shd w:val="clear" w:color="auto" w:fill="auto"/>
            <w:noWrap/>
            <w:vAlign w:val="center"/>
            <w:hideMark/>
          </w:tcPr>
          <w:p w14:paraId="3EBD47FF"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67C1BA19" w14:textId="77777777" w:rsidTr="00E37084">
        <w:trPr>
          <w:trHeight w:val="300"/>
        </w:trPr>
        <w:tc>
          <w:tcPr>
            <w:tcW w:w="856" w:type="pct"/>
            <w:tcBorders>
              <w:top w:val="nil"/>
              <w:left w:val="nil"/>
              <w:bottom w:val="nil"/>
              <w:right w:val="nil"/>
            </w:tcBorders>
            <w:shd w:val="clear" w:color="auto" w:fill="auto"/>
            <w:noWrap/>
            <w:vAlign w:val="center"/>
            <w:hideMark/>
          </w:tcPr>
          <w:p w14:paraId="0A24E838"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592" w:type="pct"/>
            <w:tcBorders>
              <w:top w:val="nil"/>
              <w:left w:val="nil"/>
              <w:bottom w:val="nil"/>
              <w:right w:val="nil"/>
            </w:tcBorders>
            <w:shd w:val="clear" w:color="auto" w:fill="auto"/>
            <w:noWrap/>
            <w:vAlign w:val="center"/>
            <w:hideMark/>
          </w:tcPr>
          <w:p w14:paraId="44ED6D0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64738.83*</w:t>
            </w:r>
          </w:p>
        </w:tc>
        <w:tc>
          <w:tcPr>
            <w:tcW w:w="542" w:type="pct"/>
            <w:tcBorders>
              <w:top w:val="nil"/>
              <w:left w:val="nil"/>
              <w:bottom w:val="nil"/>
              <w:right w:val="nil"/>
            </w:tcBorders>
            <w:shd w:val="clear" w:color="auto" w:fill="auto"/>
            <w:noWrap/>
            <w:vAlign w:val="center"/>
            <w:hideMark/>
          </w:tcPr>
          <w:p w14:paraId="637BB63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-117.71*</w:t>
            </w:r>
          </w:p>
        </w:tc>
        <w:tc>
          <w:tcPr>
            <w:tcW w:w="718" w:type="pct"/>
            <w:tcBorders>
              <w:top w:val="nil"/>
              <w:left w:val="nil"/>
              <w:bottom w:val="nil"/>
              <w:right w:val="nil"/>
            </w:tcBorders>
            <w:shd w:val="clear" w:color="auto" w:fill="auto"/>
            <w:noWrap/>
            <w:vAlign w:val="center"/>
            <w:hideMark/>
          </w:tcPr>
          <w:p w14:paraId="1C099F8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5" w:type="pct"/>
            <w:tcBorders>
              <w:top w:val="nil"/>
              <w:left w:val="nil"/>
              <w:bottom w:val="nil"/>
              <w:right w:val="nil"/>
            </w:tcBorders>
            <w:shd w:val="clear" w:color="auto" w:fill="auto"/>
            <w:noWrap/>
            <w:vAlign w:val="center"/>
            <w:hideMark/>
          </w:tcPr>
          <w:p w14:paraId="38394E64"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674" w:type="pct"/>
            <w:tcBorders>
              <w:top w:val="nil"/>
              <w:left w:val="nil"/>
              <w:bottom w:val="nil"/>
              <w:right w:val="nil"/>
            </w:tcBorders>
            <w:shd w:val="clear" w:color="auto" w:fill="auto"/>
            <w:noWrap/>
            <w:vAlign w:val="center"/>
            <w:hideMark/>
          </w:tcPr>
          <w:p w14:paraId="0981181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-15.65</w:t>
            </w:r>
          </w:p>
        </w:tc>
        <w:tc>
          <w:tcPr>
            <w:tcW w:w="568" w:type="pct"/>
            <w:tcBorders>
              <w:top w:val="nil"/>
              <w:left w:val="nil"/>
              <w:bottom w:val="nil"/>
              <w:right w:val="nil"/>
            </w:tcBorders>
            <w:shd w:val="clear" w:color="auto" w:fill="auto"/>
            <w:noWrap/>
            <w:vAlign w:val="center"/>
            <w:hideMark/>
          </w:tcPr>
          <w:p w14:paraId="3885E1F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2003.03</w:t>
            </w:r>
          </w:p>
        </w:tc>
        <w:tc>
          <w:tcPr>
            <w:tcW w:w="315" w:type="pct"/>
            <w:tcBorders>
              <w:top w:val="nil"/>
              <w:left w:val="nil"/>
              <w:bottom w:val="nil"/>
              <w:right w:val="nil"/>
            </w:tcBorders>
            <w:shd w:val="clear" w:color="auto" w:fill="auto"/>
            <w:noWrap/>
            <w:vAlign w:val="center"/>
            <w:hideMark/>
          </w:tcPr>
          <w:p w14:paraId="033A1EF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0.76</w:t>
            </w:r>
          </w:p>
        </w:tc>
      </w:tr>
      <w:tr w:rsidR="00E37084" w:rsidRPr="00E37084" w14:paraId="568ED159" w14:textId="77777777" w:rsidTr="00E37084">
        <w:trPr>
          <w:trHeight w:val="300"/>
        </w:trPr>
        <w:tc>
          <w:tcPr>
            <w:tcW w:w="856" w:type="pct"/>
            <w:tcBorders>
              <w:top w:val="nil"/>
              <w:left w:val="nil"/>
              <w:bottom w:val="nil"/>
              <w:right w:val="nil"/>
            </w:tcBorders>
            <w:shd w:val="clear" w:color="auto" w:fill="auto"/>
            <w:noWrap/>
            <w:vAlign w:val="center"/>
            <w:hideMark/>
          </w:tcPr>
          <w:p w14:paraId="0E0D33E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2B8D78E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542" w:type="pct"/>
            <w:tcBorders>
              <w:top w:val="nil"/>
              <w:left w:val="nil"/>
              <w:bottom w:val="nil"/>
              <w:right w:val="nil"/>
            </w:tcBorders>
            <w:shd w:val="clear" w:color="auto" w:fill="auto"/>
            <w:noWrap/>
            <w:vAlign w:val="center"/>
            <w:hideMark/>
          </w:tcPr>
          <w:p w14:paraId="6D63975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718" w:type="pct"/>
            <w:tcBorders>
              <w:top w:val="nil"/>
              <w:left w:val="nil"/>
              <w:bottom w:val="nil"/>
              <w:right w:val="nil"/>
            </w:tcBorders>
            <w:shd w:val="clear" w:color="auto" w:fill="auto"/>
            <w:noWrap/>
            <w:vAlign w:val="center"/>
            <w:hideMark/>
          </w:tcPr>
          <w:p w14:paraId="20B206FA"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5" w:type="pct"/>
            <w:tcBorders>
              <w:top w:val="nil"/>
              <w:left w:val="nil"/>
              <w:bottom w:val="nil"/>
              <w:right w:val="nil"/>
            </w:tcBorders>
            <w:shd w:val="clear" w:color="auto" w:fill="auto"/>
            <w:noWrap/>
            <w:vAlign w:val="center"/>
            <w:hideMark/>
          </w:tcPr>
          <w:p w14:paraId="68C26FF9"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674" w:type="pct"/>
            <w:tcBorders>
              <w:top w:val="nil"/>
              <w:left w:val="nil"/>
              <w:bottom w:val="nil"/>
              <w:right w:val="nil"/>
            </w:tcBorders>
            <w:shd w:val="clear" w:color="auto" w:fill="auto"/>
            <w:noWrap/>
            <w:vAlign w:val="center"/>
            <w:hideMark/>
          </w:tcPr>
          <w:p w14:paraId="064E846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(0.75)</w:t>
            </w:r>
          </w:p>
        </w:tc>
        <w:tc>
          <w:tcPr>
            <w:tcW w:w="568" w:type="pct"/>
            <w:tcBorders>
              <w:top w:val="nil"/>
              <w:left w:val="nil"/>
              <w:bottom w:val="nil"/>
              <w:right w:val="nil"/>
            </w:tcBorders>
            <w:shd w:val="clear" w:color="auto" w:fill="auto"/>
            <w:noWrap/>
            <w:vAlign w:val="center"/>
            <w:hideMark/>
          </w:tcPr>
          <w:p w14:paraId="0D3AB20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(0.36)</w:t>
            </w:r>
          </w:p>
        </w:tc>
        <w:tc>
          <w:tcPr>
            <w:tcW w:w="315" w:type="pct"/>
            <w:tcBorders>
              <w:top w:val="nil"/>
              <w:left w:val="nil"/>
              <w:bottom w:val="nil"/>
              <w:right w:val="nil"/>
            </w:tcBorders>
            <w:shd w:val="clear" w:color="auto" w:fill="auto"/>
            <w:noWrap/>
            <w:vAlign w:val="center"/>
            <w:hideMark/>
          </w:tcPr>
          <w:p w14:paraId="1FCB5529"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63D21F5" w14:textId="77777777" w:rsidTr="00E37084">
        <w:trPr>
          <w:trHeight w:val="300"/>
        </w:trPr>
        <w:tc>
          <w:tcPr>
            <w:tcW w:w="856" w:type="pct"/>
            <w:tcBorders>
              <w:top w:val="nil"/>
              <w:left w:val="nil"/>
              <w:bottom w:val="nil"/>
              <w:right w:val="nil"/>
            </w:tcBorders>
            <w:shd w:val="clear" w:color="auto" w:fill="auto"/>
            <w:noWrap/>
            <w:vAlign w:val="center"/>
            <w:hideMark/>
          </w:tcPr>
          <w:p w14:paraId="400219CD"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592" w:type="pct"/>
            <w:tcBorders>
              <w:top w:val="nil"/>
              <w:left w:val="nil"/>
              <w:bottom w:val="nil"/>
              <w:right w:val="nil"/>
            </w:tcBorders>
            <w:shd w:val="clear" w:color="auto" w:fill="auto"/>
            <w:noWrap/>
            <w:vAlign w:val="center"/>
            <w:hideMark/>
          </w:tcPr>
          <w:p w14:paraId="2BA4987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-9417.51</w:t>
            </w:r>
          </w:p>
        </w:tc>
        <w:tc>
          <w:tcPr>
            <w:tcW w:w="542" w:type="pct"/>
            <w:tcBorders>
              <w:top w:val="nil"/>
              <w:left w:val="nil"/>
              <w:bottom w:val="nil"/>
              <w:right w:val="nil"/>
            </w:tcBorders>
            <w:shd w:val="clear" w:color="auto" w:fill="auto"/>
            <w:noWrap/>
            <w:vAlign w:val="center"/>
            <w:hideMark/>
          </w:tcPr>
          <w:p w14:paraId="647A535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-3.28</w:t>
            </w:r>
          </w:p>
        </w:tc>
        <w:tc>
          <w:tcPr>
            <w:tcW w:w="718" w:type="pct"/>
            <w:tcBorders>
              <w:top w:val="nil"/>
              <w:left w:val="nil"/>
              <w:bottom w:val="nil"/>
              <w:right w:val="nil"/>
            </w:tcBorders>
            <w:shd w:val="clear" w:color="auto" w:fill="auto"/>
            <w:noWrap/>
            <w:vAlign w:val="center"/>
            <w:hideMark/>
          </w:tcPr>
          <w:p w14:paraId="43DC145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121.13</w:t>
            </w:r>
          </w:p>
        </w:tc>
        <w:tc>
          <w:tcPr>
            <w:tcW w:w="735" w:type="pct"/>
            <w:tcBorders>
              <w:top w:val="nil"/>
              <w:left w:val="nil"/>
              <w:bottom w:val="nil"/>
              <w:right w:val="nil"/>
            </w:tcBorders>
            <w:shd w:val="clear" w:color="auto" w:fill="auto"/>
            <w:noWrap/>
            <w:vAlign w:val="center"/>
            <w:hideMark/>
          </w:tcPr>
          <w:p w14:paraId="6D04F80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72AB83F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-2.73</w:t>
            </w:r>
          </w:p>
        </w:tc>
        <w:tc>
          <w:tcPr>
            <w:tcW w:w="568" w:type="pct"/>
            <w:tcBorders>
              <w:top w:val="nil"/>
              <w:left w:val="nil"/>
              <w:bottom w:val="nil"/>
              <w:right w:val="nil"/>
            </w:tcBorders>
            <w:shd w:val="clear" w:color="auto" w:fill="auto"/>
            <w:noWrap/>
            <w:vAlign w:val="center"/>
            <w:hideMark/>
          </w:tcPr>
          <w:p w14:paraId="38F1DAA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-843.29</w:t>
            </w:r>
          </w:p>
        </w:tc>
        <w:tc>
          <w:tcPr>
            <w:tcW w:w="315" w:type="pct"/>
            <w:tcBorders>
              <w:top w:val="nil"/>
              <w:left w:val="nil"/>
              <w:bottom w:val="nil"/>
              <w:right w:val="nil"/>
            </w:tcBorders>
            <w:shd w:val="clear" w:color="auto" w:fill="auto"/>
            <w:noWrap/>
            <w:vAlign w:val="center"/>
            <w:hideMark/>
          </w:tcPr>
          <w:p w14:paraId="315EA06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0.45</w:t>
            </w:r>
          </w:p>
        </w:tc>
      </w:tr>
      <w:tr w:rsidR="00E37084" w:rsidRPr="00E37084" w14:paraId="58DEC9CA" w14:textId="77777777" w:rsidTr="00E37084">
        <w:trPr>
          <w:trHeight w:val="300"/>
        </w:trPr>
        <w:tc>
          <w:tcPr>
            <w:tcW w:w="856" w:type="pct"/>
            <w:tcBorders>
              <w:top w:val="nil"/>
              <w:left w:val="nil"/>
              <w:bottom w:val="nil"/>
              <w:right w:val="nil"/>
            </w:tcBorders>
            <w:shd w:val="clear" w:color="auto" w:fill="auto"/>
            <w:noWrap/>
            <w:vAlign w:val="center"/>
            <w:hideMark/>
          </w:tcPr>
          <w:p w14:paraId="424C7BD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0B38882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(0.52)</w:t>
            </w:r>
          </w:p>
        </w:tc>
        <w:tc>
          <w:tcPr>
            <w:tcW w:w="542" w:type="pct"/>
            <w:tcBorders>
              <w:top w:val="nil"/>
              <w:left w:val="nil"/>
              <w:bottom w:val="nil"/>
              <w:right w:val="nil"/>
            </w:tcBorders>
            <w:shd w:val="clear" w:color="auto" w:fill="auto"/>
            <w:noWrap/>
            <w:vAlign w:val="center"/>
            <w:hideMark/>
          </w:tcPr>
          <w:p w14:paraId="12CD1DB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(0.28)</w:t>
            </w:r>
          </w:p>
        </w:tc>
        <w:tc>
          <w:tcPr>
            <w:tcW w:w="718" w:type="pct"/>
            <w:tcBorders>
              <w:top w:val="nil"/>
              <w:left w:val="nil"/>
              <w:bottom w:val="nil"/>
              <w:right w:val="nil"/>
            </w:tcBorders>
            <w:shd w:val="clear" w:color="auto" w:fill="auto"/>
            <w:noWrap/>
            <w:vAlign w:val="center"/>
            <w:hideMark/>
          </w:tcPr>
          <w:p w14:paraId="61F9902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(0.30)</w:t>
            </w:r>
          </w:p>
        </w:tc>
        <w:tc>
          <w:tcPr>
            <w:tcW w:w="735" w:type="pct"/>
            <w:tcBorders>
              <w:top w:val="nil"/>
              <w:left w:val="nil"/>
              <w:bottom w:val="nil"/>
              <w:right w:val="nil"/>
            </w:tcBorders>
            <w:shd w:val="clear" w:color="auto" w:fill="auto"/>
            <w:noWrap/>
            <w:vAlign w:val="center"/>
            <w:hideMark/>
          </w:tcPr>
          <w:p w14:paraId="3E1C1B7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57572C6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(0.49)</w:t>
            </w:r>
          </w:p>
        </w:tc>
        <w:tc>
          <w:tcPr>
            <w:tcW w:w="568" w:type="pct"/>
            <w:tcBorders>
              <w:top w:val="nil"/>
              <w:left w:val="nil"/>
              <w:bottom w:val="nil"/>
              <w:right w:val="nil"/>
            </w:tcBorders>
            <w:shd w:val="clear" w:color="auto" w:fill="auto"/>
            <w:noWrap/>
            <w:vAlign w:val="center"/>
            <w:hideMark/>
          </w:tcPr>
          <w:p w14:paraId="46503D4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(0.16)</w:t>
            </w:r>
          </w:p>
        </w:tc>
        <w:tc>
          <w:tcPr>
            <w:tcW w:w="315" w:type="pct"/>
            <w:tcBorders>
              <w:top w:val="nil"/>
              <w:left w:val="nil"/>
              <w:bottom w:val="nil"/>
              <w:right w:val="nil"/>
            </w:tcBorders>
            <w:shd w:val="clear" w:color="auto" w:fill="auto"/>
            <w:noWrap/>
            <w:vAlign w:val="center"/>
            <w:hideMark/>
          </w:tcPr>
          <w:p w14:paraId="0F4B5A95"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1D19468" w14:textId="77777777" w:rsidTr="00E37084">
        <w:trPr>
          <w:trHeight w:val="300"/>
        </w:trPr>
        <w:tc>
          <w:tcPr>
            <w:tcW w:w="856" w:type="pct"/>
            <w:tcBorders>
              <w:top w:val="nil"/>
              <w:left w:val="nil"/>
              <w:bottom w:val="nil"/>
              <w:right w:val="nil"/>
            </w:tcBorders>
            <w:shd w:val="clear" w:color="auto" w:fill="auto"/>
            <w:noWrap/>
            <w:vAlign w:val="center"/>
            <w:hideMark/>
          </w:tcPr>
          <w:p w14:paraId="75F0250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592" w:type="pct"/>
            <w:tcBorders>
              <w:top w:val="nil"/>
              <w:left w:val="nil"/>
              <w:bottom w:val="nil"/>
              <w:right w:val="nil"/>
            </w:tcBorders>
            <w:shd w:val="clear" w:color="auto" w:fill="auto"/>
            <w:noWrap/>
            <w:vAlign w:val="center"/>
            <w:hideMark/>
          </w:tcPr>
          <w:p w14:paraId="18CA0EF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9821.05</w:t>
            </w:r>
          </w:p>
        </w:tc>
        <w:tc>
          <w:tcPr>
            <w:tcW w:w="542" w:type="pct"/>
            <w:tcBorders>
              <w:top w:val="nil"/>
              <w:left w:val="nil"/>
              <w:bottom w:val="nil"/>
              <w:right w:val="nil"/>
            </w:tcBorders>
            <w:shd w:val="clear" w:color="auto" w:fill="auto"/>
            <w:noWrap/>
            <w:vAlign w:val="center"/>
            <w:hideMark/>
          </w:tcPr>
          <w:p w14:paraId="1AAC9F8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-25.4*</w:t>
            </w:r>
          </w:p>
        </w:tc>
        <w:tc>
          <w:tcPr>
            <w:tcW w:w="718" w:type="pct"/>
            <w:tcBorders>
              <w:top w:val="nil"/>
              <w:left w:val="nil"/>
              <w:bottom w:val="nil"/>
              <w:right w:val="nil"/>
            </w:tcBorders>
            <w:shd w:val="clear" w:color="auto" w:fill="auto"/>
            <w:noWrap/>
            <w:vAlign w:val="center"/>
            <w:hideMark/>
          </w:tcPr>
          <w:p w14:paraId="6B6FCAD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90.79</w:t>
            </w:r>
          </w:p>
        </w:tc>
        <w:tc>
          <w:tcPr>
            <w:tcW w:w="735" w:type="pct"/>
            <w:tcBorders>
              <w:top w:val="nil"/>
              <w:left w:val="nil"/>
              <w:bottom w:val="nil"/>
              <w:right w:val="nil"/>
            </w:tcBorders>
            <w:shd w:val="clear" w:color="auto" w:fill="auto"/>
            <w:noWrap/>
            <w:vAlign w:val="center"/>
            <w:hideMark/>
          </w:tcPr>
          <w:p w14:paraId="3AC47B2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1EB68A0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-8.87</w:t>
            </w:r>
          </w:p>
        </w:tc>
        <w:tc>
          <w:tcPr>
            <w:tcW w:w="568" w:type="pct"/>
            <w:tcBorders>
              <w:top w:val="nil"/>
              <w:left w:val="nil"/>
              <w:bottom w:val="nil"/>
              <w:right w:val="nil"/>
            </w:tcBorders>
            <w:shd w:val="clear" w:color="auto" w:fill="auto"/>
            <w:noWrap/>
            <w:vAlign w:val="center"/>
            <w:hideMark/>
          </w:tcPr>
          <w:p w14:paraId="5BD9DAC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-864.44</w:t>
            </w:r>
          </w:p>
        </w:tc>
        <w:tc>
          <w:tcPr>
            <w:tcW w:w="315" w:type="pct"/>
            <w:tcBorders>
              <w:top w:val="nil"/>
              <w:left w:val="nil"/>
              <w:bottom w:val="nil"/>
              <w:right w:val="nil"/>
            </w:tcBorders>
            <w:shd w:val="clear" w:color="auto" w:fill="auto"/>
            <w:noWrap/>
            <w:vAlign w:val="center"/>
            <w:hideMark/>
          </w:tcPr>
          <w:p w14:paraId="4FA9D80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0.73</w:t>
            </w:r>
          </w:p>
        </w:tc>
      </w:tr>
      <w:tr w:rsidR="00E37084" w:rsidRPr="00E37084" w14:paraId="7FD12A18" w14:textId="77777777" w:rsidTr="00E37084">
        <w:trPr>
          <w:trHeight w:val="300"/>
        </w:trPr>
        <w:tc>
          <w:tcPr>
            <w:tcW w:w="856" w:type="pct"/>
            <w:tcBorders>
              <w:top w:val="nil"/>
              <w:left w:val="nil"/>
              <w:bottom w:val="nil"/>
              <w:right w:val="nil"/>
            </w:tcBorders>
            <w:shd w:val="clear" w:color="auto" w:fill="auto"/>
            <w:noWrap/>
            <w:vAlign w:val="center"/>
            <w:hideMark/>
          </w:tcPr>
          <w:p w14:paraId="20372A0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7F543CF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542" w:type="pct"/>
            <w:tcBorders>
              <w:top w:val="nil"/>
              <w:left w:val="nil"/>
              <w:bottom w:val="nil"/>
              <w:right w:val="nil"/>
            </w:tcBorders>
            <w:shd w:val="clear" w:color="auto" w:fill="auto"/>
            <w:noWrap/>
            <w:vAlign w:val="center"/>
            <w:hideMark/>
          </w:tcPr>
          <w:p w14:paraId="5DB485B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718" w:type="pct"/>
            <w:tcBorders>
              <w:top w:val="nil"/>
              <w:left w:val="nil"/>
              <w:bottom w:val="nil"/>
              <w:right w:val="nil"/>
            </w:tcBorders>
            <w:shd w:val="clear" w:color="auto" w:fill="auto"/>
            <w:noWrap/>
            <w:vAlign w:val="center"/>
            <w:hideMark/>
          </w:tcPr>
          <w:p w14:paraId="717A5BD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735" w:type="pct"/>
            <w:tcBorders>
              <w:top w:val="nil"/>
              <w:left w:val="nil"/>
              <w:bottom w:val="nil"/>
              <w:right w:val="nil"/>
            </w:tcBorders>
            <w:shd w:val="clear" w:color="auto" w:fill="auto"/>
            <w:noWrap/>
            <w:vAlign w:val="center"/>
            <w:hideMark/>
          </w:tcPr>
          <w:p w14:paraId="7E219D2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6A96791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(0.22)</w:t>
            </w:r>
          </w:p>
        </w:tc>
        <w:tc>
          <w:tcPr>
            <w:tcW w:w="568" w:type="pct"/>
            <w:tcBorders>
              <w:top w:val="nil"/>
              <w:left w:val="nil"/>
              <w:bottom w:val="nil"/>
              <w:right w:val="nil"/>
            </w:tcBorders>
            <w:shd w:val="clear" w:color="auto" w:fill="auto"/>
            <w:noWrap/>
            <w:vAlign w:val="center"/>
            <w:hideMark/>
          </w:tcPr>
          <w:p w14:paraId="29AF7F4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(0.09)</w:t>
            </w:r>
          </w:p>
        </w:tc>
        <w:tc>
          <w:tcPr>
            <w:tcW w:w="315" w:type="pct"/>
            <w:tcBorders>
              <w:top w:val="nil"/>
              <w:left w:val="nil"/>
              <w:bottom w:val="nil"/>
              <w:right w:val="nil"/>
            </w:tcBorders>
            <w:shd w:val="clear" w:color="auto" w:fill="auto"/>
            <w:noWrap/>
            <w:vAlign w:val="center"/>
            <w:hideMark/>
          </w:tcPr>
          <w:p w14:paraId="4CB2BB88"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6781FE76" w14:textId="77777777" w:rsidTr="00E37084">
        <w:trPr>
          <w:trHeight w:val="300"/>
        </w:trPr>
        <w:tc>
          <w:tcPr>
            <w:tcW w:w="856" w:type="pct"/>
            <w:tcBorders>
              <w:top w:val="nil"/>
              <w:left w:val="nil"/>
              <w:bottom w:val="nil"/>
              <w:right w:val="nil"/>
            </w:tcBorders>
            <w:shd w:val="clear" w:color="auto" w:fill="auto"/>
            <w:noWrap/>
            <w:vAlign w:val="center"/>
            <w:hideMark/>
          </w:tcPr>
          <w:p w14:paraId="1648C4D2"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592" w:type="pct"/>
            <w:tcBorders>
              <w:top w:val="nil"/>
              <w:left w:val="nil"/>
              <w:bottom w:val="nil"/>
              <w:right w:val="nil"/>
            </w:tcBorders>
            <w:shd w:val="clear" w:color="auto" w:fill="auto"/>
            <w:noWrap/>
            <w:vAlign w:val="center"/>
            <w:hideMark/>
          </w:tcPr>
          <w:p w14:paraId="00B3679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89672.90</w:t>
            </w:r>
          </w:p>
        </w:tc>
        <w:tc>
          <w:tcPr>
            <w:tcW w:w="542" w:type="pct"/>
            <w:tcBorders>
              <w:top w:val="nil"/>
              <w:left w:val="nil"/>
              <w:bottom w:val="nil"/>
              <w:right w:val="nil"/>
            </w:tcBorders>
            <w:shd w:val="clear" w:color="auto" w:fill="auto"/>
            <w:noWrap/>
            <w:vAlign w:val="center"/>
            <w:hideMark/>
          </w:tcPr>
          <w:p w14:paraId="7D98A66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-120.29</w:t>
            </w:r>
          </w:p>
        </w:tc>
        <w:tc>
          <w:tcPr>
            <w:tcW w:w="718" w:type="pct"/>
            <w:tcBorders>
              <w:top w:val="nil"/>
              <w:left w:val="nil"/>
              <w:bottom w:val="nil"/>
              <w:right w:val="nil"/>
            </w:tcBorders>
            <w:shd w:val="clear" w:color="auto" w:fill="auto"/>
            <w:noWrap/>
            <w:vAlign w:val="center"/>
            <w:hideMark/>
          </w:tcPr>
          <w:p w14:paraId="6435766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484.93</w:t>
            </w:r>
          </w:p>
        </w:tc>
        <w:tc>
          <w:tcPr>
            <w:tcW w:w="735" w:type="pct"/>
            <w:tcBorders>
              <w:top w:val="nil"/>
              <w:left w:val="nil"/>
              <w:bottom w:val="nil"/>
              <w:right w:val="nil"/>
            </w:tcBorders>
            <w:shd w:val="clear" w:color="auto" w:fill="auto"/>
            <w:noWrap/>
            <w:vAlign w:val="center"/>
            <w:hideMark/>
          </w:tcPr>
          <w:p w14:paraId="720BDB2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4BE2640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-86.65</w:t>
            </w:r>
          </w:p>
        </w:tc>
        <w:tc>
          <w:tcPr>
            <w:tcW w:w="568" w:type="pct"/>
            <w:tcBorders>
              <w:top w:val="nil"/>
              <w:left w:val="nil"/>
              <w:bottom w:val="nil"/>
              <w:right w:val="nil"/>
            </w:tcBorders>
            <w:shd w:val="clear" w:color="auto" w:fill="auto"/>
            <w:noWrap/>
            <w:vAlign w:val="center"/>
            <w:hideMark/>
          </w:tcPr>
          <w:p w14:paraId="4724D8E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-3353.19</w:t>
            </w:r>
          </w:p>
        </w:tc>
        <w:tc>
          <w:tcPr>
            <w:tcW w:w="315" w:type="pct"/>
            <w:tcBorders>
              <w:top w:val="nil"/>
              <w:left w:val="nil"/>
              <w:bottom w:val="nil"/>
              <w:right w:val="nil"/>
            </w:tcBorders>
            <w:shd w:val="clear" w:color="auto" w:fill="auto"/>
            <w:noWrap/>
            <w:vAlign w:val="center"/>
            <w:hideMark/>
          </w:tcPr>
          <w:p w14:paraId="6BA3019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0.55</w:t>
            </w:r>
          </w:p>
        </w:tc>
      </w:tr>
      <w:tr w:rsidR="00E37084" w:rsidRPr="00E37084" w14:paraId="4D6A6F56" w14:textId="77777777" w:rsidTr="00E37084">
        <w:trPr>
          <w:trHeight w:val="300"/>
        </w:trPr>
        <w:tc>
          <w:tcPr>
            <w:tcW w:w="856" w:type="pct"/>
            <w:tcBorders>
              <w:top w:val="nil"/>
              <w:left w:val="nil"/>
              <w:bottom w:val="nil"/>
              <w:right w:val="nil"/>
            </w:tcBorders>
            <w:shd w:val="clear" w:color="auto" w:fill="auto"/>
            <w:noWrap/>
            <w:vAlign w:val="center"/>
            <w:hideMark/>
          </w:tcPr>
          <w:p w14:paraId="010BDCA6"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3F1C6F5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(0.14)</w:t>
            </w:r>
          </w:p>
        </w:tc>
        <w:tc>
          <w:tcPr>
            <w:tcW w:w="542" w:type="pct"/>
            <w:tcBorders>
              <w:top w:val="nil"/>
              <w:left w:val="nil"/>
              <w:bottom w:val="nil"/>
              <w:right w:val="nil"/>
            </w:tcBorders>
            <w:shd w:val="clear" w:color="auto" w:fill="auto"/>
            <w:noWrap/>
            <w:vAlign w:val="center"/>
            <w:hideMark/>
          </w:tcPr>
          <w:p w14:paraId="40E969A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(0.08)</w:t>
            </w:r>
          </w:p>
        </w:tc>
        <w:tc>
          <w:tcPr>
            <w:tcW w:w="718" w:type="pct"/>
            <w:tcBorders>
              <w:top w:val="nil"/>
              <w:left w:val="nil"/>
              <w:bottom w:val="nil"/>
              <w:right w:val="nil"/>
            </w:tcBorders>
            <w:shd w:val="clear" w:color="auto" w:fill="auto"/>
            <w:noWrap/>
            <w:vAlign w:val="center"/>
            <w:hideMark/>
          </w:tcPr>
          <w:p w14:paraId="5586FE5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(0.36)</w:t>
            </w:r>
          </w:p>
        </w:tc>
        <w:tc>
          <w:tcPr>
            <w:tcW w:w="735" w:type="pct"/>
            <w:tcBorders>
              <w:top w:val="nil"/>
              <w:left w:val="nil"/>
              <w:bottom w:val="nil"/>
              <w:right w:val="nil"/>
            </w:tcBorders>
            <w:shd w:val="clear" w:color="auto" w:fill="auto"/>
            <w:noWrap/>
            <w:vAlign w:val="center"/>
            <w:hideMark/>
          </w:tcPr>
          <w:p w14:paraId="36D72A5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777F247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568" w:type="pct"/>
            <w:tcBorders>
              <w:top w:val="nil"/>
              <w:left w:val="nil"/>
              <w:bottom w:val="nil"/>
              <w:right w:val="nil"/>
            </w:tcBorders>
            <w:shd w:val="clear" w:color="auto" w:fill="auto"/>
            <w:noWrap/>
            <w:vAlign w:val="center"/>
            <w:hideMark/>
          </w:tcPr>
          <w:p w14:paraId="63A5D3A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(0.34)</w:t>
            </w:r>
          </w:p>
        </w:tc>
        <w:tc>
          <w:tcPr>
            <w:tcW w:w="315" w:type="pct"/>
            <w:tcBorders>
              <w:top w:val="nil"/>
              <w:left w:val="nil"/>
              <w:bottom w:val="nil"/>
              <w:right w:val="nil"/>
            </w:tcBorders>
            <w:shd w:val="clear" w:color="auto" w:fill="auto"/>
            <w:noWrap/>
            <w:vAlign w:val="center"/>
            <w:hideMark/>
          </w:tcPr>
          <w:p w14:paraId="6BB65868"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074B710" w14:textId="77777777" w:rsidTr="00E37084">
        <w:trPr>
          <w:trHeight w:val="300"/>
        </w:trPr>
        <w:tc>
          <w:tcPr>
            <w:tcW w:w="856" w:type="pct"/>
            <w:tcBorders>
              <w:top w:val="nil"/>
              <w:left w:val="nil"/>
              <w:bottom w:val="nil"/>
              <w:right w:val="nil"/>
            </w:tcBorders>
            <w:shd w:val="clear" w:color="auto" w:fill="auto"/>
            <w:noWrap/>
            <w:vAlign w:val="center"/>
            <w:hideMark/>
          </w:tcPr>
          <w:p w14:paraId="073E2344"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592" w:type="pct"/>
            <w:tcBorders>
              <w:top w:val="nil"/>
              <w:left w:val="nil"/>
              <w:bottom w:val="nil"/>
              <w:right w:val="nil"/>
            </w:tcBorders>
            <w:shd w:val="clear" w:color="auto" w:fill="auto"/>
            <w:noWrap/>
            <w:vAlign w:val="center"/>
            <w:hideMark/>
          </w:tcPr>
          <w:p w14:paraId="75DBA63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-966.20</w:t>
            </w:r>
          </w:p>
        </w:tc>
        <w:tc>
          <w:tcPr>
            <w:tcW w:w="542" w:type="pct"/>
            <w:tcBorders>
              <w:top w:val="nil"/>
              <w:left w:val="nil"/>
              <w:bottom w:val="nil"/>
              <w:right w:val="nil"/>
            </w:tcBorders>
            <w:shd w:val="clear" w:color="auto" w:fill="auto"/>
            <w:noWrap/>
            <w:vAlign w:val="center"/>
            <w:hideMark/>
          </w:tcPr>
          <w:p w14:paraId="0683926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-5.53</w:t>
            </w:r>
          </w:p>
        </w:tc>
        <w:tc>
          <w:tcPr>
            <w:tcW w:w="718" w:type="pct"/>
            <w:tcBorders>
              <w:top w:val="nil"/>
              <w:left w:val="nil"/>
              <w:bottom w:val="nil"/>
              <w:right w:val="nil"/>
            </w:tcBorders>
            <w:shd w:val="clear" w:color="auto" w:fill="auto"/>
            <w:noWrap/>
            <w:vAlign w:val="center"/>
            <w:hideMark/>
          </w:tcPr>
          <w:p w14:paraId="009327F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41.05</w:t>
            </w:r>
          </w:p>
        </w:tc>
        <w:tc>
          <w:tcPr>
            <w:tcW w:w="735" w:type="pct"/>
            <w:tcBorders>
              <w:top w:val="nil"/>
              <w:left w:val="nil"/>
              <w:bottom w:val="nil"/>
              <w:right w:val="nil"/>
            </w:tcBorders>
            <w:shd w:val="clear" w:color="auto" w:fill="auto"/>
            <w:noWrap/>
            <w:vAlign w:val="center"/>
            <w:hideMark/>
          </w:tcPr>
          <w:p w14:paraId="2872212D"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3D6F966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-4.19</w:t>
            </w:r>
          </w:p>
        </w:tc>
        <w:tc>
          <w:tcPr>
            <w:tcW w:w="568" w:type="pct"/>
            <w:tcBorders>
              <w:top w:val="nil"/>
              <w:left w:val="nil"/>
              <w:bottom w:val="nil"/>
              <w:right w:val="nil"/>
            </w:tcBorders>
            <w:shd w:val="clear" w:color="auto" w:fill="auto"/>
            <w:noWrap/>
            <w:vAlign w:val="center"/>
            <w:hideMark/>
          </w:tcPr>
          <w:p w14:paraId="7CE92D8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-26.74</w:t>
            </w:r>
          </w:p>
        </w:tc>
        <w:tc>
          <w:tcPr>
            <w:tcW w:w="315" w:type="pct"/>
            <w:tcBorders>
              <w:top w:val="nil"/>
              <w:left w:val="nil"/>
              <w:bottom w:val="nil"/>
              <w:right w:val="nil"/>
            </w:tcBorders>
            <w:shd w:val="clear" w:color="auto" w:fill="auto"/>
            <w:noWrap/>
            <w:vAlign w:val="center"/>
            <w:hideMark/>
          </w:tcPr>
          <w:p w14:paraId="1884F9E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0.61</w:t>
            </w:r>
          </w:p>
        </w:tc>
      </w:tr>
      <w:tr w:rsidR="00E37084" w:rsidRPr="00E37084" w14:paraId="1231BD4F" w14:textId="77777777" w:rsidTr="00E37084">
        <w:trPr>
          <w:trHeight w:val="300"/>
        </w:trPr>
        <w:tc>
          <w:tcPr>
            <w:tcW w:w="856" w:type="pct"/>
            <w:tcBorders>
              <w:top w:val="nil"/>
              <w:left w:val="nil"/>
              <w:bottom w:val="nil"/>
              <w:right w:val="nil"/>
            </w:tcBorders>
            <w:shd w:val="clear" w:color="auto" w:fill="auto"/>
            <w:noWrap/>
            <w:vAlign w:val="center"/>
            <w:hideMark/>
          </w:tcPr>
          <w:p w14:paraId="589FC2F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04077BF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(0.86)</w:t>
            </w:r>
          </w:p>
        </w:tc>
        <w:tc>
          <w:tcPr>
            <w:tcW w:w="542" w:type="pct"/>
            <w:tcBorders>
              <w:top w:val="nil"/>
              <w:left w:val="nil"/>
              <w:bottom w:val="nil"/>
              <w:right w:val="nil"/>
            </w:tcBorders>
            <w:shd w:val="clear" w:color="auto" w:fill="auto"/>
            <w:noWrap/>
            <w:vAlign w:val="center"/>
            <w:hideMark/>
          </w:tcPr>
          <w:p w14:paraId="2E2C4ED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(0.06)</w:t>
            </w:r>
          </w:p>
        </w:tc>
        <w:tc>
          <w:tcPr>
            <w:tcW w:w="718" w:type="pct"/>
            <w:tcBorders>
              <w:top w:val="nil"/>
              <w:left w:val="nil"/>
              <w:bottom w:val="nil"/>
              <w:right w:val="nil"/>
            </w:tcBorders>
            <w:shd w:val="clear" w:color="auto" w:fill="auto"/>
            <w:noWrap/>
            <w:vAlign w:val="center"/>
            <w:hideMark/>
          </w:tcPr>
          <w:p w14:paraId="74DA1F5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(0.41)</w:t>
            </w:r>
          </w:p>
        </w:tc>
        <w:tc>
          <w:tcPr>
            <w:tcW w:w="735" w:type="pct"/>
            <w:tcBorders>
              <w:top w:val="nil"/>
              <w:left w:val="nil"/>
              <w:bottom w:val="nil"/>
              <w:right w:val="nil"/>
            </w:tcBorders>
            <w:shd w:val="clear" w:color="auto" w:fill="auto"/>
            <w:noWrap/>
            <w:vAlign w:val="center"/>
            <w:hideMark/>
          </w:tcPr>
          <w:p w14:paraId="6EF243FE"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5F27686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(0.15)</w:t>
            </w:r>
          </w:p>
        </w:tc>
        <w:tc>
          <w:tcPr>
            <w:tcW w:w="568" w:type="pct"/>
            <w:tcBorders>
              <w:top w:val="nil"/>
              <w:left w:val="nil"/>
              <w:bottom w:val="nil"/>
              <w:right w:val="nil"/>
            </w:tcBorders>
            <w:shd w:val="clear" w:color="auto" w:fill="auto"/>
            <w:noWrap/>
            <w:vAlign w:val="center"/>
            <w:hideMark/>
          </w:tcPr>
          <w:p w14:paraId="05DC038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(0.87)</w:t>
            </w:r>
          </w:p>
        </w:tc>
        <w:tc>
          <w:tcPr>
            <w:tcW w:w="315" w:type="pct"/>
            <w:tcBorders>
              <w:top w:val="nil"/>
              <w:left w:val="nil"/>
              <w:bottom w:val="nil"/>
              <w:right w:val="nil"/>
            </w:tcBorders>
            <w:shd w:val="clear" w:color="auto" w:fill="auto"/>
            <w:noWrap/>
            <w:vAlign w:val="center"/>
            <w:hideMark/>
          </w:tcPr>
          <w:p w14:paraId="647FB438"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43EBFF9" w14:textId="77777777" w:rsidTr="00E37084">
        <w:trPr>
          <w:trHeight w:val="300"/>
        </w:trPr>
        <w:tc>
          <w:tcPr>
            <w:tcW w:w="856" w:type="pct"/>
            <w:tcBorders>
              <w:top w:val="nil"/>
              <w:left w:val="nil"/>
              <w:bottom w:val="nil"/>
              <w:right w:val="nil"/>
            </w:tcBorders>
            <w:shd w:val="clear" w:color="auto" w:fill="auto"/>
            <w:noWrap/>
            <w:vAlign w:val="center"/>
            <w:hideMark/>
          </w:tcPr>
          <w:p w14:paraId="193847EF"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592" w:type="pct"/>
            <w:tcBorders>
              <w:top w:val="nil"/>
              <w:left w:val="nil"/>
              <w:bottom w:val="nil"/>
              <w:right w:val="nil"/>
            </w:tcBorders>
            <w:shd w:val="clear" w:color="auto" w:fill="auto"/>
            <w:noWrap/>
            <w:vAlign w:val="center"/>
            <w:hideMark/>
          </w:tcPr>
          <w:p w14:paraId="1F2C533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54313.64*</w:t>
            </w:r>
          </w:p>
        </w:tc>
        <w:tc>
          <w:tcPr>
            <w:tcW w:w="542" w:type="pct"/>
            <w:tcBorders>
              <w:top w:val="nil"/>
              <w:left w:val="nil"/>
              <w:bottom w:val="nil"/>
              <w:right w:val="nil"/>
            </w:tcBorders>
            <w:shd w:val="clear" w:color="auto" w:fill="auto"/>
            <w:noWrap/>
            <w:vAlign w:val="center"/>
            <w:hideMark/>
          </w:tcPr>
          <w:p w14:paraId="028087E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-78.97*</w:t>
            </w:r>
          </w:p>
        </w:tc>
        <w:tc>
          <w:tcPr>
            <w:tcW w:w="718" w:type="pct"/>
            <w:tcBorders>
              <w:top w:val="nil"/>
              <w:left w:val="nil"/>
              <w:bottom w:val="nil"/>
              <w:right w:val="nil"/>
            </w:tcBorders>
            <w:shd w:val="clear" w:color="auto" w:fill="auto"/>
            <w:noWrap/>
            <w:vAlign w:val="center"/>
            <w:hideMark/>
          </w:tcPr>
          <w:p w14:paraId="17EB2BA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326.72</w:t>
            </w:r>
          </w:p>
        </w:tc>
        <w:tc>
          <w:tcPr>
            <w:tcW w:w="735" w:type="pct"/>
            <w:tcBorders>
              <w:top w:val="nil"/>
              <w:left w:val="nil"/>
              <w:bottom w:val="nil"/>
              <w:right w:val="nil"/>
            </w:tcBorders>
            <w:shd w:val="clear" w:color="auto" w:fill="auto"/>
            <w:noWrap/>
            <w:vAlign w:val="center"/>
            <w:hideMark/>
          </w:tcPr>
          <w:p w14:paraId="33F63AA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0834DDC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-39.10</w:t>
            </w:r>
          </w:p>
        </w:tc>
        <w:tc>
          <w:tcPr>
            <w:tcW w:w="568" w:type="pct"/>
            <w:tcBorders>
              <w:top w:val="nil"/>
              <w:left w:val="nil"/>
              <w:bottom w:val="nil"/>
              <w:right w:val="nil"/>
            </w:tcBorders>
            <w:shd w:val="clear" w:color="auto" w:fill="auto"/>
            <w:noWrap/>
            <w:vAlign w:val="center"/>
            <w:hideMark/>
          </w:tcPr>
          <w:p w14:paraId="6F2BFAB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-6624.52*</w:t>
            </w:r>
          </w:p>
        </w:tc>
        <w:tc>
          <w:tcPr>
            <w:tcW w:w="315" w:type="pct"/>
            <w:tcBorders>
              <w:top w:val="nil"/>
              <w:left w:val="nil"/>
              <w:bottom w:val="nil"/>
              <w:right w:val="nil"/>
            </w:tcBorders>
            <w:shd w:val="clear" w:color="auto" w:fill="auto"/>
            <w:noWrap/>
            <w:vAlign w:val="center"/>
            <w:hideMark/>
          </w:tcPr>
          <w:p w14:paraId="053E5B3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0.87</w:t>
            </w:r>
          </w:p>
        </w:tc>
      </w:tr>
      <w:tr w:rsidR="00E37084" w:rsidRPr="00E37084" w14:paraId="2F44FED9" w14:textId="77777777" w:rsidTr="00E37084">
        <w:trPr>
          <w:trHeight w:val="300"/>
        </w:trPr>
        <w:tc>
          <w:tcPr>
            <w:tcW w:w="856" w:type="pct"/>
            <w:tcBorders>
              <w:top w:val="nil"/>
              <w:left w:val="nil"/>
              <w:bottom w:val="nil"/>
              <w:right w:val="nil"/>
            </w:tcBorders>
            <w:shd w:val="clear" w:color="auto" w:fill="auto"/>
            <w:noWrap/>
            <w:vAlign w:val="center"/>
            <w:hideMark/>
          </w:tcPr>
          <w:p w14:paraId="36578F9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582D8A4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42" w:type="pct"/>
            <w:tcBorders>
              <w:top w:val="nil"/>
              <w:left w:val="nil"/>
              <w:bottom w:val="nil"/>
              <w:right w:val="nil"/>
            </w:tcBorders>
            <w:shd w:val="clear" w:color="auto" w:fill="auto"/>
            <w:noWrap/>
            <w:vAlign w:val="center"/>
            <w:hideMark/>
          </w:tcPr>
          <w:p w14:paraId="661E6C2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718" w:type="pct"/>
            <w:tcBorders>
              <w:top w:val="nil"/>
              <w:left w:val="nil"/>
              <w:bottom w:val="nil"/>
              <w:right w:val="nil"/>
            </w:tcBorders>
            <w:shd w:val="clear" w:color="auto" w:fill="auto"/>
            <w:noWrap/>
            <w:vAlign w:val="center"/>
            <w:hideMark/>
          </w:tcPr>
          <w:p w14:paraId="3828145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(0.18)</w:t>
            </w:r>
          </w:p>
        </w:tc>
        <w:tc>
          <w:tcPr>
            <w:tcW w:w="735" w:type="pct"/>
            <w:tcBorders>
              <w:top w:val="nil"/>
              <w:left w:val="nil"/>
              <w:bottom w:val="nil"/>
              <w:right w:val="nil"/>
            </w:tcBorders>
            <w:shd w:val="clear" w:color="auto" w:fill="auto"/>
            <w:noWrap/>
            <w:vAlign w:val="center"/>
            <w:hideMark/>
          </w:tcPr>
          <w:p w14:paraId="74A2522E"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74" w:type="pct"/>
            <w:tcBorders>
              <w:top w:val="nil"/>
              <w:left w:val="nil"/>
              <w:bottom w:val="nil"/>
              <w:right w:val="nil"/>
            </w:tcBorders>
            <w:shd w:val="clear" w:color="auto" w:fill="auto"/>
            <w:noWrap/>
            <w:vAlign w:val="center"/>
            <w:hideMark/>
          </w:tcPr>
          <w:p w14:paraId="1237AE7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(0.10)</w:t>
            </w:r>
          </w:p>
        </w:tc>
        <w:tc>
          <w:tcPr>
            <w:tcW w:w="568" w:type="pct"/>
            <w:tcBorders>
              <w:top w:val="nil"/>
              <w:left w:val="nil"/>
              <w:bottom w:val="nil"/>
              <w:right w:val="nil"/>
            </w:tcBorders>
            <w:shd w:val="clear" w:color="auto" w:fill="auto"/>
            <w:noWrap/>
            <w:vAlign w:val="center"/>
            <w:hideMark/>
          </w:tcPr>
          <w:p w14:paraId="7D2CD98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315" w:type="pct"/>
            <w:tcBorders>
              <w:top w:val="nil"/>
              <w:left w:val="nil"/>
              <w:bottom w:val="nil"/>
              <w:right w:val="nil"/>
            </w:tcBorders>
            <w:shd w:val="clear" w:color="auto" w:fill="auto"/>
            <w:noWrap/>
            <w:vAlign w:val="center"/>
            <w:hideMark/>
          </w:tcPr>
          <w:p w14:paraId="3CA20921"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39829176" w14:textId="77777777" w:rsidTr="00E37084">
        <w:trPr>
          <w:trHeight w:val="300"/>
        </w:trPr>
        <w:tc>
          <w:tcPr>
            <w:tcW w:w="856" w:type="pct"/>
            <w:tcBorders>
              <w:top w:val="nil"/>
              <w:left w:val="nil"/>
              <w:bottom w:val="nil"/>
              <w:right w:val="nil"/>
            </w:tcBorders>
            <w:shd w:val="clear" w:color="auto" w:fill="auto"/>
            <w:noWrap/>
            <w:vAlign w:val="center"/>
            <w:hideMark/>
          </w:tcPr>
          <w:p w14:paraId="04F185B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592" w:type="pct"/>
            <w:tcBorders>
              <w:top w:val="nil"/>
              <w:left w:val="nil"/>
              <w:bottom w:val="nil"/>
              <w:right w:val="nil"/>
            </w:tcBorders>
            <w:shd w:val="clear" w:color="auto" w:fill="auto"/>
            <w:noWrap/>
            <w:vAlign w:val="center"/>
            <w:hideMark/>
          </w:tcPr>
          <w:p w14:paraId="40A4019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34140.3*</w:t>
            </w:r>
          </w:p>
        </w:tc>
        <w:tc>
          <w:tcPr>
            <w:tcW w:w="542" w:type="pct"/>
            <w:tcBorders>
              <w:top w:val="nil"/>
              <w:left w:val="nil"/>
              <w:bottom w:val="nil"/>
              <w:right w:val="nil"/>
            </w:tcBorders>
            <w:shd w:val="clear" w:color="auto" w:fill="auto"/>
            <w:noWrap/>
            <w:vAlign w:val="center"/>
            <w:hideMark/>
          </w:tcPr>
          <w:p w14:paraId="6EDCFF1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-22.48*</w:t>
            </w:r>
          </w:p>
        </w:tc>
        <w:tc>
          <w:tcPr>
            <w:tcW w:w="718" w:type="pct"/>
            <w:tcBorders>
              <w:top w:val="nil"/>
              <w:left w:val="nil"/>
              <w:bottom w:val="nil"/>
              <w:right w:val="nil"/>
            </w:tcBorders>
            <w:shd w:val="clear" w:color="auto" w:fill="auto"/>
            <w:noWrap/>
            <w:vAlign w:val="center"/>
            <w:hideMark/>
          </w:tcPr>
          <w:p w14:paraId="2F326F3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5" w:type="pct"/>
            <w:tcBorders>
              <w:top w:val="nil"/>
              <w:left w:val="nil"/>
              <w:bottom w:val="nil"/>
              <w:right w:val="nil"/>
            </w:tcBorders>
            <w:shd w:val="clear" w:color="auto" w:fill="auto"/>
            <w:noWrap/>
            <w:vAlign w:val="center"/>
            <w:hideMark/>
          </w:tcPr>
          <w:p w14:paraId="3CE17FCD"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674" w:type="pct"/>
            <w:tcBorders>
              <w:top w:val="nil"/>
              <w:left w:val="nil"/>
              <w:bottom w:val="nil"/>
              <w:right w:val="nil"/>
            </w:tcBorders>
            <w:shd w:val="clear" w:color="auto" w:fill="auto"/>
            <w:noWrap/>
            <w:vAlign w:val="center"/>
            <w:hideMark/>
          </w:tcPr>
          <w:p w14:paraId="31F0A7C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-18.95</w:t>
            </w:r>
          </w:p>
        </w:tc>
        <w:tc>
          <w:tcPr>
            <w:tcW w:w="568" w:type="pct"/>
            <w:tcBorders>
              <w:top w:val="nil"/>
              <w:left w:val="nil"/>
              <w:bottom w:val="nil"/>
              <w:right w:val="nil"/>
            </w:tcBorders>
            <w:shd w:val="clear" w:color="auto" w:fill="auto"/>
            <w:noWrap/>
            <w:vAlign w:val="center"/>
            <w:hideMark/>
          </w:tcPr>
          <w:p w14:paraId="7860472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-2096.14*</w:t>
            </w:r>
          </w:p>
        </w:tc>
        <w:tc>
          <w:tcPr>
            <w:tcW w:w="315" w:type="pct"/>
            <w:tcBorders>
              <w:top w:val="nil"/>
              <w:left w:val="nil"/>
              <w:bottom w:val="nil"/>
              <w:right w:val="nil"/>
            </w:tcBorders>
            <w:shd w:val="clear" w:color="auto" w:fill="auto"/>
            <w:noWrap/>
            <w:vAlign w:val="center"/>
            <w:hideMark/>
          </w:tcPr>
          <w:p w14:paraId="20961A7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0.78</w:t>
            </w:r>
          </w:p>
        </w:tc>
      </w:tr>
      <w:tr w:rsidR="00E37084" w:rsidRPr="00E37084" w14:paraId="4BB9AD79" w14:textId="77777777" w:rsidTr="00E37084">
        <w:trPr>
          <w:trHeight w:val="300"/>
        </w:trPr>
        <w:tc>
          <w:tcPr>
            <w:tcW w:w="856" w:type="pct"/>
            <w:tcBorders>
              <w:top w:val="nil"/>
              <w:left w:val="nil"/>
              <w:bottom w:val="single" w:sz="4" w:space="0" w:color="auto"/>
              <w:right w:val="nil"/>
            </w:tcBorders>
            <w:shd w:val="clear" w:color="auto" w:fill="auto"/>
            <w:noWrap/>
            <w:vAlign w:val="center"/>
            <w:hideMark/>
          </w:tcPr>
          <w:p w14:paraId="61133F38"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592" w:type="pct"/>
            <w:tcBorders>
              <w:top w:val="nil"/>
              <w:left w:val="nil"/>
              <w:bottom w:val="single" w:sz="4" w:space="0" w:color="auto"/>
              <w:right w:val="nil"/>
            </w:tcBorders>
            <w:shd w:val="clear" w:color="auto" w:fill="auto"/>
            <w:noWrap/>
            <w:vAlign w:val="center"/>
            <w:hideMark/>
          </w:tcPr>
          <w:p w14:paraId="3A6D420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42" w:type="pct"/>
            <w:tcBorders>
              <w:top w:val="nil"/>
              <w:left w:val="nil"/>
              <w:bottom w:val="single" w:sz="4" w:space="0" w:color="auto"/>
              <w:right w:val="nil"/>
            </w:tcBorders>
            <w:shd w:val="clear" w:color="auto" w:fill="auto"/>
            <w:noWrap/>
            <w:vAlign w:val="center"/>
            <w:hideMark/>
          </w:tcPr>
          <w:p w14:paraId="0C89E11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718" w:type="pct"/>
            <w:tcBorders>
              <w:top w:val="nil"/>
              <w:left w:val="nil"/>
              <w:bottom w:val="single" w:sz="4" w:space="0" w:color="auto"/>
              <w:right w:val="nil"/>
            </w:tcBorders>
            <w:shd w:val="clear" w:color="auto" w:fill="auto"/>
            <w:noWrap/>
            <w:vAlign w:val="center"/>
            <w:hideMark/>
          </w:tcPr>
          <w:p w14:paraId="208D79E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35" w:type="pct"/>
            <w:tcBorders>
              <w:top w:val="nil"/>
              <w:left w:val="nil"/>
              <w:bottom w:val="single" w:sz="4" w:space="0" w:color="auto"/>
              <w:right w:val="nil"/>
            </w:tcBorders>
            <w:shd w:val="clear" w:color="auto" w:fill="auto"/>
            <w:noWrap/>
            <w:vAlign w:val="center"/>
            <w:hideMark/>
          </w:tcPr>
          <w:p w14:paraId="6E89D25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674" w:type="pct"/>
            <w:tcBorders>
              <w:top w:val="nil"/>
              <w:left w:val="nil"/>
              <w:bottom w:val="single" w:sz="4" w:space="0" w:color="auto"/>
              <w:right w:val="nil"/>
            </w:tcBorders>
            <w:shd w:val="clear" w:color="auto" w:fill="auto"/>
            <w:noWrap/>
            <w:vAlign w:val="center"/>
            <w:hideMark/>
          </w:tcPr>
          <w:p w14:paraId="3856CAB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568" w:type="pct"/>
            <w:tcBorders>
              <w:top w:val="nil"/>
              <w:left w:val="nil"/>
              <w:bottom w:val="single" w:sz="4" w:space="0" w:color="auto"/>
              <w:right w:val="nil"/>
            </w:tcBorders>
            <w:shd w:val="clear" w:color="auto" w:fill="auto"/>
            <w:noWrap/>
            <w:vAlign w:val="center"/>
            <w:hideMark/>
          </w:tcPr>
          <w:p w14:paraId="74AAAA9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315" w:type="pct"/>
            <w:tcBorders>
              <w:top w:val="nil"/>
              <w:left w:val="nil"/>
              <w:bottom w:val="single" w:sz="4" w:space="0" w:color="auto"/>
              <w:right w:val="nil"/>
            </w:tcBorders>
            <w:shd w:val="clear" w:color="auto" w:fill="auto"/>
            <w:noWrap/>
            <w:vAlign w:val="center"/>
            <w:hideMark/>
          </w:tcPr>
          <w:p w14:paraId="5260195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0241A7A7" w14:textId="4580DE96" w:rsidR="00D07D43" w:rsidRDefault="00EE68F9" w:rsidP="00777422">
      <w:pPr>
        <w:pStyle w:val="Notesourcetext"/>
      </w:pPr>
      <w:r>
        <w:t>Note: * denotes significance at the 95% level</w:t>
      </w:r>
    </w:p>
    <w:p w14:paraId="199ECDEA" w14:textId="77777777" w:rsidR="00E37084" w:rsidRPr="00E37084" w:rsidRDefault="00E37084" w:rsidP="00E37084">
      <w:pPr>
        <w:pStyle w:val="BodyText1"/>
      </w:pPr>
    </w:p>
    <w:p w14:paraId="690904CD" w14:textId="77777777" w:rsidR="00670D13" w:rsidRDefault="00670D13" w:rsidP="00670D13">
      <w:pPr>
        <w:pStyle w:val="Caption"/>
      </w:pPr>
      <w:bookmarkStart w:id="49" w:name="_Toc491356912"/>
      <w:bookmarkStart w:id="50" w:name="_Toc505345890"/>
      <w:r>
        <w:t xml:space="preserve">Table </w:t>
      </w:r>
      <w:r w:rsidR="00915ABD">
        <w:fldChar w:fldCharType="begin"/>
      </w:r>
      <w:r>
        <w:instrText xml:space="preserve"> SEQ Table \* ARABIC </w:instrText>
      </w:r>
      <w:r w:rsidR="00915ABD">
        <w:fldChar w:fldCharType="separate"/>
      </w:r>
      <w:r w:rsidR="00F709AB">
        <w:rPr>
          <w:noProof/>
        </w:rPr>
        <w:t>7</w:t>
      </w:r>
      <w:r w:rsidR="00915ABD">
        <w:fldChar w:fldCharType="end"/>
      </w:r>
      <w:r w:rsidR="006E24BC">
        <w:t xml:space="preserve"> Regression</w:t>
      </w:r>
      <w:r>
        <w:t xml:space="preserve"> results for land use by irrigation activity, NSW Murray (above the Barmah Choke)</w:t>
      </w:r>
      <w:bookmarkEnd w:id="49"/>
      <w:bookmarkEnd w:id="50"/>
    </w:p>
    <w:tbl>
      <w:tblPr>
        <w:tblW w:w="5000" w:type="pct"/>
        <w:tblLook w:val="04A0" w:firstRow="1" w:lastRow="0" w:firstColumn="1" w:lastColumn="0" w:noHBand="0" w:noVBand="1"/>
      </w:tblPr>
      <w:tblGrid>
        <w:gridCol w:w="1653"/>
        <w:gridCol w:w="1253"/>
        <w:gridCol w:w="1047"/>
        <w:gridCol w:w="1041"/>
        <w:gridCol w:w="1157"/>
        <w:gridCol w:w="1301"/>
        <w:gridCol w:w="1010"/>
        <w:gridCol w:w="608"/>
      </w:tblGrid>
      <w:tr w:rsidR="00E37084" w:rsidRPr="00E37084" w14:paraId="706AF039" w14:textId="77777777" w:rsidTr="00EE68F9">
        <w:trPr>
          <w:trHeight w:val="510"/>
        </w:trPr>
        <w:tc>
          <w:tcPr>
            <w:tcW w:w="911" w:type="pct"/>
            <w:tcBorders>
              <w:top w:val="single" w:sz="4" w:space="0" w:color="auto"/>
              <w:left w:val="nil"/>
              <w:bottom w:val="single" w:sz="4" w:space="0" w:color="auto"/>
              <w:right w:val="nil"/>
            </w:tcBorders>
            <w:shd w:val="clear" w:color="auto" w:fill="auto"/>
            <w:noWrap/>
            <w:vAlign w:val="center"/>
            <w:hideMark/>
          </w:tcPr>
          <w:p w14:paraId="63DD9F24"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691" w:type="pct"/>
            <w:tcBorders>
              <w:top w:val="single" w:sz="4" w:space="0" w:color="auto"/>
              <w:left w:val="nil"/>
              <w:bottom w:val="single" w:sz="4" w:space="0" w:color="auto"/>
              <w:right w:val="nil"/>
            </w:tcBorders>
            <w:shd w:val="clear" w:color="auto" w:fill="auto"/>
            <w:noWrap/>
            <w:vAlign w:val="center"/>
            <w:hideMark/>
          </w:tcPr>
          <w:p w14:paraId="482F0B22"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77" w:type="pct"/>
            <w:tcBorders>
              <w:top w:val="single" w:sz="4" w:space="0" w:color="auto"/>
              <w:left w:val="nil"/>
              <w:bottom w:val="single" w:sz="4" w:space="0" w:color="auto"/>
              <w:right w:val="nil"/>
            </w:tcBorders>
            <w:shd w:val="clear" w:color="auto" w:fill="auto"/>
            <w:noWrap/>
            <w:vAlign w:val="center"/>
            <w:hideMark/>
          </w:tcPr>
          <w:p w14:paraId="4FCAF623"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574" w:type="pct"/>
            <w:tcBorders>
              <w:top w:val="single" w:sz="4" w:space="0" w:color="auto"/>
              <w:left w:val="nil"/>
              <w:bottom w:val="single" w:sz="4" w:space="0" w:color="auto"/>
              <w:right w:val="nil"/>
            </w:tcBorders>
            <w:shd w:val="clear" w:color="auto" w:fill="auto"/>
            <w:vAlign w:val="center"/>
            <w:hideMark/>
          </w:tcPr>
          <w:p w14:paraId="38516DF0"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Output </w:t>
            </w:r>
            <w:r w:rsidRPr="00E37084">
              <w:rPr>
                <w:rFonts w:eastAsia="Times New Roman"/>
                <w:b/>
                <w:bCs/>
                <w:color w:val="000000"/>
                <w:sz w:val="19"/>
                <w:szCs w:val="19"/>
                <w:lang w:eastAsia="en-AU"/>
              </w:rPr>
              <w:br/>
              <w:t>price (Y)</w:t>
            </w:r>
          </w:p>
        </w:tc>
        <w:tc>
          <w:tcPr>
            <w:tcW w:w="638" w:type="pct"/>
            <w:tcBorders>
              <w:top w:val="single" w:sz="4" w:space="0" w:color="auto"/>
              <w:left w:val="nil"/>
              <w:bottom w:val="single" w:sz="4" w:space="0" w:color="auto"/>
              <w:right w:val="nil"/>
            </w:tcBorders>
            <w:shd w:val="clear" w:color="auto" w:fill="auto"/>
            <w:vAlign w:val="center"/>
            <w:hideMark/>
          </w:tcPr>
          <w:p w14:paraId="26F36622"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r w:rsidRPr="00E37084">
              <w:rPr>
                <w:rFonts w:eastAsia="Times New Roman"/>
                <w:b/>
                <w:bCs/>
                <w:color w:val="000000"/>
                <w:sz w:val="19"/>
                <w:szCs w:val="19"/>
                <w:lang w:eastAsia="en-AU"/>
              </w:rPr>
              <w:br/>
              <w:t>price (CY)</w:t>
            </w:r>
          </w:p>
        </w:tc>
        <w:tc>
          <w:tcPr>
            <w:tcW w:w="717" w:type="pct"/>
            <w:tcBorders>
              <w:top w:val="single" w:sz="4" w:space="0" w:color="auto"/>
              <w:left w:val="nil"/>
              <w:bottom w:val="single" w:sz="4" w:space="0" w:color="auto"/>
              <w:right w:val="nil"/>
            </w:tcBorders>
            <w:shd w:val="clear" w:color="auto" w:fill="auto"/>
            <w:noWrap/>
            <w:vAlign w:val="center"/>
            <w:hideMark/>
          </w:tcPr>
          <w:p w14:paraId="62A1E6F0"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57" w:type="pct"/>
            <w:tcBorders>
              <w:top w:val="single" w:sz="4" w:space="0" w:color="auto"/>
              <w:left w:val="nil"/>
              <w:bottom w:val="single" w:sz="4" w:space="0" w:color="auto"/>
              <w:right w:val="nil"/>
            </w:tcBorders>
            <w:shd w:val="clear" w:color="auto" w:fill="auto"/>
            <w:noWrap/>
            <w:vAlign w:val="center"/>
            <w:hideMark/>
          </w:tcPr>
          <w:p w14:paraId="7825750D"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35" w:type="pct"/>
            <w:tcBorders>
              <w:top w:val="single" w:sz="4" w:space="0" w:color="auto"/>
              <w:left w:val="nil"/>
              <w:bottom w:val="single" w:sz="4" w:space="0" w:color="auto"/>
              <w:right w:val="nil"/>
            </w:tcBorders>
            <w:shd w:val="clear" w:color="auto" w:fill="auto"/>
            <w:noWrap/>
            <w:vAlign w:val="center"/>
            <w:hideMark/>
          </w:tcPr>
          <w:p w14:paraId="50087B31"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6676A13A" w14:textId="77777777" w:rsidTr="00EE68F9">
        <w:trPr>
          <w:trHeight w:val="300"/>
        </w:trPr>
        <w:tc>
          <w:tcPr>
            <w:tcW w:w="911" w:type="pct"/>
            <w:tcBorders>
              <w:top w:val="nil"/>
              <w:left w:val="nil"/>
              <w:bottom w:val="nil"/>
              <w:right w:val="nil"/>
            </w:tcBorders>
            <w:shd w:val="clear" w:color="auto" w:fill="auto"/>
            <w:noWrap/>
            <w:vAlign w:val="center"/>
            <w:hideMark/>
          </w:tcPr>
          <w:p w14:paraId="518EAA59"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691" w:type="pct"/>
            <w:tcBorders>
              <w:top w:val="nil"/>
              <w:left w:val="nil"/>
              <w:bottom w:val="nil"/>
              <w:right w:val="nil"/>
            </w:tcBorders>
            <w:shd w:val="clear" w:color="auto" w:fill="auto"/>
            <w:noWrap/>
            <w:vAlign w:val="center"/>
            <w:hideMark/>
          </w:tcPr>
          <w:p w14:paraId="692A0B0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49162.31*</w:t>
            </w:r>
          </w:p>
        </w:tc>
        <w:tc>
          <w:tcPr>
            <w:tcW w:w="577" w:type="pct"/>
            <w:tcBorders>
              <w:top w:val="nil"/>
              <w:left w:val="nil"/>
              <w:bottom w:val="nil"/>
              <w:right w:val="nil"/>
            </w:tcBorders>
            <w:shd w:val="clear" w:color="auto" w:fill="auto"/>
            <w:noWrap/>
            <w:vAlign w:val="center"/>
            <w:hideMark/>
          </w:tcPr>
          <w:p w14:paraId="0CF6A8B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-75.81*</w:t>
            </w:r>
          </w:p>
        </w:tc>
        <w:tc>
          <w:tcPr>
            <w:tcW w:w="574" w:type="pct"/>
            <w:tcBorders>
              <w:top w:val="nil"/>
              <w:left w:val="nil"/>
              <w:bottom w:val="nil"/>
              <w:right w:val="nil"/>
            </w:tcBorders>
            <w:shd w:val="clear" w:color="auto" w:fill="auto"/>
            <w:noWrap/>
            <w:vAlign w:val="center"/>
            <w:hideMark/>
          </w:tcPr>
          <w:p w14:paraId="6DB3811E"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1A6D59C8"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701A072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-38.60</w:t>
            </w:r>
          </w:p>
        </w:tc>
        <w:tc>
          <w:tcPr>
            <w:tcW w:w="557" w:type="pct"/>
            <w:tcBorders>
              <w:top w:val="nil"/>
              <w:left w:val="nil"/>
              <w:bottom w:val="nil"/>
              <w:right w:val="nil"/>
            </w:tcBorders>
            <w:shd w:val="clear" w:color="auto" w:fill="auto"/>
            <w:noWrap/>
            <w:vAlign w:val="center"/>
            <w:hideMark/>
          </w:tcPr>
          <w:p w14:paraId="31903CA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510.25</w:t>
            </w:r>
          </w:p>
        </w:tc>
        <w:tc>
          <w:tcPr>
            <w:tcW w:w="335" w:type="pct"/>
            <w:tcBorders>
              <w:top w:val="nil"/>
              <w:left w:val="nil"/>
              <w:bottom w:val="nil"/>
              <w:right w:val="nil"/>
            </w:tcBorders>
            <w:shd w:val="clear" w:color="auto" w:fill="auto"/>
            <w:noWrap/>
            <w:vAlign w:val="center"/>
            <w:hideMark/>
          </w:tcPr>
          <w:p w14:paraId="0574A1F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0.81</w:t>
            </w:r>
          </w:p>
        </w:tc>
      </w:tr>
      <w:tr w:rsidR="00E37084" w:rsidRPr="00E37084" w14:paraId="4FE9F4CC" w14:textId="77777777" w:rsidTr="00EE68F9">
        <w:trPr>
          <w:trHeight w:val="300"/>
        </w:trPr>
        <w:tc>
          <w:tcPr>
            <w:tcW w:w="911" w:type="pct"/>
            <w:tcBorders>
              <w:top w:val="nil"/>
              <w:left w:val="nil"/>
              <w:bottom w:val="nil"/>
              <w:right w:val="nil"/>
            </w:tcBorders>
            <w:shd w:val="clear" w:color="auto" w:fill="auto"/>
            <w:noWrap/>
            <w:vAlign w:val="center"/>
            <w:hideMark/>
          </w:tcPr>
          <w:p w14:paraId="70140AC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4BED826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77" w:type="pct"/>
            <w:tcBorders>
              <w:top w:val="nil"/>
              <w:left w:val="nil"/>
              <w:bottom w:val="nil"/>
              <w:right w:val="nil"/>
            </w:tcBorders>
            <w:shd w:val="clear" w:color="auto" w:fill="auto"/>
            <w:noWrap/>
            <w:vAlign w:val="center"/>
            <w:hideMark/>
          </w:tcPr>
          <w:p w14:paraId="71B07FA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4" w:type="pct"/>
            <w:tcBorders>
              <w:top w:val="nil"/>
              <w:left w:val="nil"/>
              <w:bottom w:val="nil"/>
              <w:right w:val="nil"/>
            </w:tcBorders>
            <w:shd w:val="clear" w:color="auto" w:fill="auto"/>
            <w:noWrap/>
            <w:vAlign w:val="center"/>
            <w:hideMark/>
          </w:tcPr>
          <w:p w14:paraId="1B1E52D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755D7B17"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1E4811E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(0.17)</w:t>
            </w:r>
          </w:p>
        </w:tc>
        <w:tc>
          <w:tcPr>
            <w:tcW w:w="557" w:type="pct"/>
            <w:tcBorders>
              <w:top w:val="nil"/>
              <w:left w:val="nil"/>
              <w:bottom w:val="nil"/>
              <w:right w:val="nil"/>
            </w:tcBorders>
            <w:shd w:val="clear" w:color="auto" w:fill="auto"/>
            <w:noWrap/>
            <w:vAlign w:val="center"/>
            <w:hideMark/>
          </w:tcPr>
          <w:p w14:paraId="4DE377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(0.61)</w:t>
            </w:r>
          </w:p>
        </w:tc>
        <w:tc>
          <w:tcPr>
            <w:tcW w:w="335" w:type="pct"/>
            <w:tcBorders>
              <w:top w:val="nil"/>
              <w:left w:val="nil"/>
              <w:bottom w:val="nil"/>
              <w:right w:val="nil"/>
            </w:tcBorders>
            <w:shd w:val="clear" w:color="auto" w:fill="auto"/>
            <w:noWrap/>
            <w:vAlign w:val="center"/>
            <w:hideMark/>
          </w:tcPr>
          <w:p w14:paraId="2A77C5BF"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374C793F" w14:textId="77777777" w:rsidTr="00EE68F9">
        <w:trPr>
          <w:trHeight w:val="300"/>
        </w:trPr>
        <w:tc>
          <w:tcPr>
            <w:tcW w:w="911" w:type="pct"/>
            <w:tcBorders>
              <w:top w:val="nil"/>
              <w:left w:val="nil"/>
              <w:bottom w:val="nil"/>
              <w:right w:val="nil"/>
            </w:tcBorders>
            <w:shd w:val="clear" w:color="auto" w:fill="auto"/>
            <w:noWrap/>
            <w:vAlign w:val="center"/>
            <w:hideMark/>
          </w:tcPr>
          <w:p w14:paraId="5D6109BA"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691" w:type="pct"/>
            <w:tcBorders>
              <w:top w:val="nil"/>
              <w:left w:val="nil"/>
              <w:bottom w:val="nil"/>
              <w:right w:val="nil"/>
            </w:tcBorders>
            <w:shd w:val="clear" w:color="auto" w:fill="auto"/>
            <w:noWrap/>
            <w:vAlign w:val="center"/>
            <w:hideMark/>
          </w:tcPr>
          <w:p w14:paraId="6EBF19A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1124.67*</w:t>
            </w:r>
          </w:p>
        </w:tc>
        <w:tc>
          <w:tcPr>
            <w:tcW w:w="577" w:type="pct"/>
            <w:tcBorders>
              <w:top w:val="nil"/>
              <w:left w:val="nil"/>
              <w:bottom w:val="nil"/>
              <w:right w:val="nil"/>
            </w:tcBorders>
            <w:shd w:val="clear" w:color="auto" w:fill="auto"/>
            <w:noWrap/>
            <w:vAlign w:val="center"/>
            <w:hideMark/>
          </w:tcPr>
          <w:p w14:paraId="344924B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-0.77</w:t>
            </w:r>
          </w:p>
        </w:tc>
        <w:tc>
          <w:tcPr>
            <w:tcW w:w="574" w:type="pct"/>
            <w:tcBorders>
              <w:top w:val="nil"/>
              <w:left w:val="nil"/>
              <w:bottom w:val="nil"/>
              <w:right w:val="nil"/>
            </w:tcBorders>
            <w:shd w:val="clear" w:color="auto" w:fill="auto"/>
            <w:noWrap/>
            <w:vAlign w:val="center"/>
            <w:hideMark/>
          </w:tcPr>
          <w:p w14:paraId="751362AA"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03BD0534"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057D4FA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0.61</w:t>
            </w:r>
          </w:p>
        </w:tc>
        <w:tc>
          <w:tcPr>
            <w:tcW w:w="557" w:type="pct"/>
            <w:tcBorders>
              <w:top w:val="nil"/>
              <w:left w:val="nil"/>
              <w:bottom w:val="nil"/>
              <w:right w:val="nil"/>
            </w:tcBorders>
            <w:shd w:val="clear" w:color="auto" w:fill="auto"/>
            <w:noWrap/>
            <w:vAlign w:val="center"/>
            <w:hideMark/>
          </w:tcPr>
          <w:p w14:paraId="33661A4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-58.95*</w:t>
            </w:r>
          </w:p>
        </w:tc>
        <w:tc>
          <w:tcPr>
            <w:tcW w:w="335" w:type="pct"/>
            <w:tcBorders>
              <w:top w:val="nil"/>
              <w:left w:val="nil"/>
              <w:bottom w:val="nil"/>
              <w:right w:val="nil"/>
            </w:tcBorders>
            <w:shd w:val="clear" w:color="auto" w:fill="auto"/>
            <w:noWrap/>
            <w:vAlign w:val="center"/>
            <w:hideMark/>
          </w:tcPr>
          <w:p w14:paraId="6F0BEB3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0.62</w:t>
            </w:r>
          </w:p>
        </w:tc>
      </w:tr>
      <w:tr w:rsidR="00E37084" w:rsidRPr="00E37084" w14:paraId="6FDCB0D6" w14:textId="77777777" w:rsidTr="00EE68F9">
        <w:trPr>
          <w:trHeight w:val="300"/>
        </w:trPr>
        <w:tc>
          <w:tcPr>
            <w:tcW w:w="911" w:type="pct"/>
            <w:tcBorders>
              <w:top w:val="nil"/>
              <w:left w:val="nil"/>
              <w:bottom w:val="nil"/>
              <w:right w:val="nil"/>
            </w:tcBorders>
            <w:shd w:val="clear" w:color="auto" w:fill="auto"/>
            <w:noWrap/>
            <w:vAlign w:val="center"/>
            <w:hideMark/>
          </w:tcPr>
          <w:p w14:paraId="0BD449E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6A2482A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77" w:type="pct"/>
            <w:tcBorders>
              <w:top w:val="nil"/>
              <w:left w:val="nil"/>
              <w:bottom w:val="nil"/>
              <w:right w:val="nil"/>
            </w:tcBorders>
            <w:shd w:val="clear" w:color="auto" w:fill="auto"/>
            <w:noWrap/>
            <w:vAlign w:val="center"/>
            <w:hideMark/>
          </w:tcPr>
          <w:p w14:paraId="15B5290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(0.10)</w:t>
            </w:r>
          </w:p>
        </w:tc>
        <w:tc>
          <w:tcPr>
            <w:tcW w:w="574" w:type="pct"/>
            <w:tcBorders>
              <w:top w:val="nil"/>
              <w:left w:val="nil"/>
              <w:bottom w:val="nil"/>
              <w:right w:val="nil"/>
            </w:tcBorders>
            <w:shd w:val="clear" w:color="auto" w:fill="auto"/>
            <w:noWrap/>
            <w:vAlign w:val="center"/>
            <w:hideMark/>
          </w:tcPr>
          <w:p w14:paraId="61F465C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77F295BB"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3067177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(0.35)</w:t>
            </w:r>
          </w:p>
        </w:tc>
        <w:tc>
          <w:tcPr>
            <w:tcW w:w="557" w:type="pct"/>
            <w:tcBorders>
              <w:top w:val="nil"/>
              <w:left w:val="nil"/>
              <w:bottom w:val="nil"/>
              <w:right w:val="nil"/>
            </w:tcBorders>
            <w:shd w:val="clear" w:color="auto" w:fill="auto"/>
            <w:noWrap/>
            <w:vAlign w:val="center"/>
            <w:hideMark/>
          </w:tcPr>
          <w:p w14:paraId="7DFC769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335" w:type="pct"/>
            <w:tcBorders>
              <w:top w:val="nil"/>
              <w:left w:val="nil"/>
              <w:bottom w:val="nil"/>
              <w:right w:val="nil"/>
            </w:tcBorders>
            <w:shd w:val="clear" w:color="auto" w:fill="auto"/>
            <w:noWrap/>
            <w:vAlign w:val="center"/>
            <w:hideMark/>
          </w:tcPr>
          <w:p w14:paraId="595D6AF2"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109B10B" w14:textId="77777777" w:rsidTr="00EE68F9">
        <w:trPr>
          <w:trHeight w:val="300"/>
        </w:trPr>
        <w:tc>
          <w:tcPr>
            <w:tcW w:w="911" w:type="pct"/>
            <w:tcBorders>
              <w:top w:val="nil"/>
              <w:left w:val="nil"/>
              <w:bottom w:val="nil"/>
              <w:right w:val="nil"/>
            </w:tcBorders>
            <w:shd w:val="clear" w:color="auto" w:fill="auto"/>
            <w:noWrap/>
            <w:vAlign w:val="center"/>
            <w:hideMark/>
          </w:tcPr>
          <w:p w14:paraId="0078E34E"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691" w:type="pct"/>
            <w:tcBorders>
              <w:top w:val="nil"/>
              <w:left w:val="nil"/>
              <w:bottom w:val="nil"/>
              <w:right w:val="nil"/>
            </w:tcBorders>
            <w:shd w:val="clear" w:color="auto" w:fill="auto"/>
            <w:noWrap/>
            <w:vAlign w:val="center"/>
            <w:hideMark/>
          </w:tcPr>
          <w:p w14:paraId="38B4C7A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8710.38*</w:t>
            </w:r>
          </w:p>
        </w:tc>
        <w:tc>
          <w:tcPr>
            <w:tcW w:w="577" w:type="pct"/>
            <w:tcBorders>
              <w:top w:val="nil"/>
              <w:left w:val="nil"/>
              <w:bottom w:val="nil"/>
              <w:right w:val="nil"/>
            </w:tcBorders>
            <w:shd w:val="clear" w:color="auto" w:fill="auto"/>
            <w:noWrap/>
            <w:vAlign w:val="center"/>
            <w:hideMark/>
          </w:tcPr>
          <w:p w14:paraId="0A5B505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-15.51*</w:t>
            </w:r>
          </w:p>
        </w:tc>
        <w:tc>
          <w:tcPr>
            <w:tcW w:w="574" w:type="pct"/>
            <w:tcBorders>
              <w:top w:val="nil"/>
              <w:left w:val="nil"/>
              <w:bottom w:val="nil"/>
              <w:right w:val="nil"/>
            </w:tcBorders>
            <w:shd w:val="clear" w:color="auto" w:fill="auto"/>
            <w:noWrap/>
            <w:vAlign w:val="center"/>
            <w:hideMark/>
          </w:tcPr>
          <w:p w14:paraId="6C2611A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25.74</w:t>
            </w:r>
          </w:p>
        </w:tc>
        <w:tc>
          <w:tcPr>
            <w:tcW w:w="638" w:type="pct"/>
            <w:tcBorders>
              <w:top w:val="nil"/>
              <w:left w:val="nil"/>
              <w:bottom w:val="nil"/>
              <w:right w:val="nil"/>
            </w:tcBorders>
            <w:shd w:val="clear" w:color="auto" w:fill="auto"/>
            <w:noWrap/>
            <w:vAlign w:val="center"/>
            <w:hideMark/>
          </w:tcPr>
          <w:p w14:paraId="0B7F99F9"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39428D6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-13.42*</w:t>
            </w:r>
          </w:p>
        </w:tc>
        <w:tc>
          <w:tcPr>
            <w:tcW w:w="557" w:type="pct"/>
            <w:tcBorders>
              <w:top w:val="nil"/>
              <w:left w:val="nil"/>
              <w:bottom w:val="nil"/>
              <w:right w:val="nil"/>
            </w:tcBorders>
            <w:shd w:val="clear" w:color="auto" w:fill="auto"/>
            <w:noWrap/>
            <w:vAlign w:val="center"/>
            <w:hideMark/>
          </w:tcPr>
          <w:p w14:paraId="49372E6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273.82</w:t>
            </w:r>
          </w:p>
        </w:tc>
        <w:tc>
          <w:tcPr>
            <w:tcW w:w="335" w:type="pct"/>
            <w:tcBorders>
              <w:top w:val="nil"/>
              <w:left w:val="nil"/>
              <w:bottom w:val="nil"/>
              <w:right w:val="nil"/>
            </w:tcBorders>
            <w:shd w:val="clear" w:color="auto" w:fill="auto"/>
            <w:noWrap/>
            <w:vAlign w:val="center"/>
            <w:hideMark/>
          </w:tcPr>
          <w:p w14:paraId="64FC605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0.92</w:t>
            </w:r>
          </w:p>
        </w:tc>
      </w:tr>
      <w:tr w:rsidR="00E37084" w:rsidRPr="00E37084" w14:paraId="2C6D3ADE" w14:textId="77777777" w:rsidTr="00EE68F9">
        <w:trPr>
          <w:trHeight w:val="300"/>
        </w:trPr>
        <w:tc>
          <w:tcPr>
            <w:tcW w:w="911" w:type="pct"/>
            <w:tcBorders>
              <w:top w:val="nil"/>
              <w:left w:val="nil"/>
              <w:bottom w:val="nil"/>
              <w:right w:val="nil"/>
            </w:tcBorders>
            <w:shd w:val="clear" w:color="auto" w:fill="auto"/>
            <w:noWrap/>
            <w:vAlign w:val="center"/>
            <w:hideMark/>
          </w:tcPr>
          <w:p w14:paraId="2BD9C3F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5C40CEA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77" w:type="pct"/>
            <w:tcBorders>
              <w:top w:val="nil"/>
              <w:left w:val="nil"/>
              <w:bottom w:val="nil"/>
              <w:right w:val="nil"/>
            </w:tcBorders>
            <w:shd w:val="clear" w:color="auto" w:fill="auto"/>
            <w:noWrap/>
            <w:vAlign w:val="center"/>
            <w:hideMark/>
          </w:tcPr>
          <w:p w14:paraId="3D458F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4" w:type="pct"/>
            <w:tcBorders>
              <w:top w:val="nil"/>
              <w:left w:val="nil"/>
              <w:bottom w:val="nil"/>
              <w:right w:val="nil"/>
            </w:tcBorders>
            <w:shd w:val="clear" w:color="auto" w:fill="auto"/>
            <w:noWrap/>
            <w:vAlign w:val="center"/>
            <w:hideMark/>
          </w:tcPr>
          <w:p w14:paraId="30AA73D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(0.39)</w:t>
            </w:r>
          </w:p>
        </w:tc>
        <w:tc>
          <w:tcPr>
            <w:tcW w:w="638" w:type="pct"/>
            <w:tcBorders>
              <w:top w:val="nil"/>
              <w:left w:val="nil"/>
              <w:bottom w:val="nil"/>
              <w:right w:val="nil"/>
            </w:tcBorders>
            <w:shd w:val="clear" w:color="auto" w:fill="auto"/>
            <w:noWrap/>
            <w:vAlign w:val="center"/>
            <w:hideMark/>
          </w:tcPr>
          <w:p w14:paraId="162B5DD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18BCE82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57" w:type="pct"/>
            <w:tcBorders>
              <w:top w:val="nil"/>
              <w:left w:val="nil"/>
              <w:bottom w:val="nil"/>
              <w:right w:val="nil"/>
            </w:tcBorders>
            <w:shd w:val="clear" w:color="auto" w:fill="auto"/>
            <w:noWrap/>
            <w:vAlign w:val="center"/>
            <w:hideMark/>
          </w:tcPr>
          <w:p w14:paraId="222356E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335" w:type="pct"/>
            <w:tcBorders>
              <w:top w:val="nil"/>
              <w:left w:val="nil"/>
              <w:bottom w:val="nil"/>
              <w:right w:val="nil"/>
            </w:tcBorders>
            <w:shd w:val="clear" w:color="auto" w:fill="auto"/>
            <w:noWrap/>
            <w:vAlign w:val="center"/>
            <w:hideMark/>
          </w:tcPr>
          <w:p w14:paraId="40CA5009"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5279D35" w14:textId="77777777" w:rsidTr="00EE68F9">
        <w:trPr>
          <w:trHeight w:val="300"/>
        </w:trPr>
        <w:tc>
          <w:tcPr>
            <w:tcW w:w="911" w:type="pct"/>
            <w:tcBorders>
              <w:top w:val="nil"/>
              <w:left w:val="nil"/>
              <w:bottom w:val="nil"/>
              <w:right w:val="nil"/>
            </w:tcBorders>
            <w:shd w:val="clear" w:color="auto" w:fill="auto"/>
            <w:noWrap/>
            <w:vAlign w:val="center"/>
            <w:hideMark/>
          </w:tcPr>
          <w:p w14:paraId="75782911"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691" w:type="pct"/>
            <w:tcBorders>
              <w:top w:val="nil"/>
              <w:left w:val="nil"/>
              <w:bottom w:val="nil"/>
              <w:right w:val="nil"/>
            </w:tcBorders>
            <w:shd w:val="clear" w:color="auto" w:fill="auto"/>
            <w:noWrap/>
            <w:vAlign w:val="center"/>
            <w:hideMark/>
          </w:tcPr>
          <w:p w14:paraId="1DCC69E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79171.99*</w:t>
            </w:r>
          </w:p>
        </w:tc>
        <w:tc>
          <w:tcPr>
            <w:tcW w:w="577" w:type="pct"/>
            <w:tcBorders>
              <w:top w:val="nil"/>
              <w:left w:val="nil"/>
              <w:bottom w:val="nil"/>
              <w:right w:val="nil"/>
            </w:tcBorders>
            <w:shd w:val="clear" w:color="auto" w:fill="auto"/>
            <w:noWrap/>
            <w:vAlign w:val="center"/>
            <w:hideMark/>
          </w:tcPr>
          <w:p w14:paraId="4606F4E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-73.96*</w:t>
            </w:r>
          </w:p>
        </w:tc>
        <w:tc>
          <w:tcPr>
            <w:tcW w:w="574" w:type="pct"/>
            <w:tcBorders>
              <w:top w:val="nil"/>
              <w:left w:val="nil"/>
              <w:bottom w:val="nil"/>
              <w:right w:val="nil"/>
            </w:tcBorders>
            <w:shd w:val="clear" w:color="auto" w:fill="auto"/>
            <w:noWrap/>
            <w:vAlign w:val="center"/>
            <w:hideMark/>
          </w:tcPr>
          <w:p w14:paraId="13EEB1D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4729501C"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16F3153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-76.06*</w:t>
            </w:r>
          </w:p>
        </w:tc>
        <w:tc>
          <w:tcPr>
            <w:tcW w:w="557" w:type="pct"/>
            <w:tcBorders>
              <w:top w:val="nil"/>
              <w:left w:val="nil"/>
              <w:bottom w:val="nil"/>
              <w:right w:val="nil"/>
            </w:tcBorders>
            <w:shd w:val="clear" w:color="auto" w:fill="auto"/>
            <w:noWrap/>
            <w:vAlign w:val="center"/>
            <w:hideMark/>
          </w:tcPr>
          <w:p w14:paraId="0680DC8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410.30</w:t>
            </w:r>
          </w:p>
        </w:tc>
        <w:tc>
          <w:tcPr>
            <w:tcW w:w="335" w:type="pct"/>
            <w:tcBorders>
              <w:top w:val="nil"/>
              <w:left w:val="nil"/>
              <w:bottom w:val="nil"/>
              <w:right w:val="nil"/>
            </w:tcBorders>
            <w:shd w:val="clear" w:color="auto" w:fill="auto"/>
            <w:noWrap/>
            <w:vAlign w:val="center"/>
            <w:hideMark/>
          </w:tcPr>
          <w:p w14:paraId="18991E2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0.79</w:t>
            </w:r>
          </w:p>
        </w:tc>
      </w:tr>
      <w:tr w:rsidR="00E37084" w:rsidRPr="00E37084" w14:paraId="111E88D4" w14:textId="77777777" w:rsidTr="00EE68F9">
        <w:trPr>
          <w:trHeight w:val="300"/>
        </w:trPr>
        <w:tc>
          <w:tcPr>
            <w:tcW w:w="911" w:type="pct"/>
            <w:tcBorders>
              <w:top w:val="nil"/>
              <w:left w:val="nil"/>
              <w:bottom w:val="nil"/>
              <w:right w:val="nil"/>
            </w:tcBorders>
            <w:shd w:val="clear" w:color="auto" w:fill="auto"/>
            <w:noWrap/>
            <w:vAlign w:val="center"/>
            <w:hideMark/>
          </w:tcPr>
          <w:p w14:paraId="1BC6D39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35AF4F4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7" w:type="pct"/>
            <w:tcBorders>
              <w:top w:val="nil"/>
              <w:left w:val="nil"/>
              <w:bottom w:val="nil"/>
              <w:right w:val="nil"/>
            </w:tcBorders>
            <w:shd w:val="clear" w:color="auto" w:fill="auto"/>
            <w:noWrap/>
            <w:vAlign w:val="center"/>
            <w:hideMark/>
          </w:tcPr>
          <w:p w14:paraId="2181E67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4" w:type="pct"/>
            <w:tcBorders>
              <w:top w:val="nil"/>
              <w:left w:val="nil"/>
              <w:bottom w:val="nil"/>
              <w:right w:val="nil"/>
            </w:tcBorders>
            <w:shd w:val="clear" w:color="auto" w:fill="auto"/>
            <w:noWrap/>
            <w:vAlign w:val="center"/>
            <w:hideMark/>
          </w:tcPr>
          <w:p w14:paraId="0F73EEA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6D973AB5"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5DB41AE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57" w:type="pct"/>
            <w:tcBorders>
              <w:top w:val="nil"/>
              <w:left w:val="nil"/>
              <w:bottom w:val="nil"/>
              <w:right w:val="nil"/>
            </w:tcBorders>
            <w:shd w:val="clear" w:color="auto" w:fill="auto"/>
            <w:noWrap/>
            <w:vAlign w:val="center"/>
            <w:hideMark/>
          </w:tcPr>
          <w:p w14:paraId="6177FD9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(0.68)</w:t>
            </w:r>
          </w:p>
        </w:tc>
        <w:tc>
          <w:tcPr>
            <w:tcW w:w="335" w:type="pct"/>
            <w:tcBorders>
              <w:top w:val="nil"/>
              <w:left w:val="nil"/>
              <w:bottom w:val="nil"/>
              <w:right w:val="nil"/>
            </w:tcBorders>
            <w:shd w:val="clear" w:color="auto" w:fill="auto"/>
            <w:noWrap/>
            <w:vAlign w:val="center"/>
            <w:hideMark/>
          </w:tcPr>
          <w:p w14:paraId="534820C8"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BCF1440" w14:textId="77777777" w:rsidTr="00EE68F9">
        <w:trPr>
          <w:trHeight w:val="300"/>
        </w:trPr>
        <w:tc>
          <w:tcPr>
            <w:tcW w:w="911" w:type="pct"/>
            <w:tcBorders>
              <w:top w:val="nil"/>
              <w:left w:val="nil"/>
              <w:bottom w:val="nil"/>
              <w:right w:val="nil"/>
            </w:tcBorders>
            <w:shd w:val="clear" w:color="auto" w:fill="auto"/>
            <w:noWrap/>
            <w:vAlign w:val="center"/>
            <w:hideMark/>
          </w:tcPr>
          <w:p w14:paraId="5B73DD45"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691" w:type="pct"/>
            <w:tcBorders>
              <w:top w:val="nil"/>
              <w:left w:val="nil"/>
              <w:bottom w:val="nil"/>
              <w:right w:val="nil"/>
            </w:tcBorders>
            <w:shd w:val="clear" w:color="auto" w:fill="auto"/>
            <w:noWrap/>
            <w:vAlign w:val="center"/>
            <w:hideMark/>
          </w:tcPr>
          <w:p w14:paraId="06FC790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-742.82</w:t>
            </w:r>
          </w:p>
        </w:tc>
        <w:tc>
          <w:tcPr>
            <w:tcW w:w="577" w:type="pct"/>
            <w:tcBorders>
              <w:top w:val="nil"/>
              <w:left w:val="nil"/>
              <w:bottom w:val="nil"/>
              <w:right w:val="nil"/>
            </w:tcBorders>
            <w:shd w:val="clear" w:color="auto" w:fill="auto"/>
            <w:noWrap/>
            <w:vAlign w:val="center"/>
            <w:hideMark/>
          </w:tcPr>
          <w:p w14:paraId="1EBB0C8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-0.85</w:t>
            </w:r>
          </w:p>
        </w:tc>
        <w:tc>
          <w:tcPr>
            <w:tcW w:w="574" w:type="pct"/>
            <w:tcBorders>
              <w:top w:val="nil"/>
              <w:left w:val="nil"/>
              <w:bottom w:val="nil"/>
              <w:right w:val="nil"/>
            </w:tcBorders>
            <w:shd w:val="clear" w:color="auto" w:fill="auto"/>
            <w:noWrap/>
            <w:vAlign w:val="center"/>
            <w:hideMark/>
          </w:tcPr>
          <w:p w14:paraId="08DB955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9.97</w:t>
            </w:r>
          </w:p>
        </w:tc>
        <w:tc>
          <w:tcPr>
            <w:tcW w:w="638" w:type="pct"/>
            <w:tcBorders>
              <w:top w:val="nil"/>
              <w:left w:val="nil"/>
              <w:bottom w:val="nil"/>
              <w:right w:val="nil"/>
            </w:tcBorders>
            <w:shd w:val="clear" w:color="auto" w:fill="auto"/>
            <w:noWrap/>
            <w:vAlign w:val="center"/>
            <w:hideMark/>
          </w:tcPr>
          <w:p w14:paraId="6AFD1AB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0AF614A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-0.91</w:t>
            </w:r>
          </w:p>
        </w:tc>
        <w:tc>
          <w:tcPr>
            <w:tcW w:w="557" w:type="pct"/>
            <w:tcBorders>
              <w:top w:val="nil"/>
              <w:left w:val="nil"/>
              <w:bottom w:val="nil"/>
              <w:right w:val="nil"/>
            </w:tcBorders>
            <w:shd w:val="clear" w:color="auto" w:fill="auto"/>
            <w:noWrap/>
            <w:vAlign w:val="center"/>
            <w:hideMark/>
          </w:tcPr>
          <w:p w14:paraId="1D840DF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56.47</w:t>
            </w:r>
          </w:p>
        </w:tc>
        <w:tc>
          <w:tcPr>
            <w:tcW w:w="335" w:type="pct"/>
            <w:tcBorders>
              <w:top w:val="nil"/>
              <w:left w:val="nil"/>
              <w:bottom w:val="nil"/>
              <w:right w:val="nil"/>
            </w:tcBorders>
            <w:shd w:val="clear" w:color="auto" w:fill="auto"/>
            <w:noWrap/>
            <w:vAlign w:val="center"/>
            <w:hideMark/>
          </w:tcPr>
          <w:p w14:paraId="6E194DE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0.81</w:t>
            </w:r>
          </w:p>
        </w:tc>
      </w:tr>
      <w:tr w:rsidR="00E37084" w:rsidRPr="00E37084" w14:paraId="5650D110" w14:textId="77777777" w:rsidTr="00EE68F9">
        <w:trPr>
          <w:trHeight w:val="300"/>
        </w:trPr>
        <w:tc>
          <w:tcPr>
            <w:tcW w:w="911" w:type="pct"/>
            <w:tcBorders>
              <w:top w:val="nil"/>
              <w:left w:val="nil"/>
              <w:bottom w:val="nil"/>
              <w:right w:val="nil"/>
            </w:tcBorders>
            <w:shd w:val="clear" w:color="auto" w:fill="auto"/>
            <w:noWrap/>
            <w:vAlign w:val="center"/>
            <w:hideMark/>
          </w:tcPr>
          <w:p w14:paraId="3248BA09"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2B15BC7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(0.51)</w:t>
            </w:r>
          </w:p>
        </w:tc>
        <w:tc>
          <w:tcPr>
            <w:tcW w:w="577" w:type="pct"/>
            <w:tcBorders>
              <w:top w:val="nil"/>
              <w:left w:val="nil"/>
              <w:bottom w:val="nil"/>
              <w:right w:val="nil"/>
            </w:tcBorders>
            <w:shd w:val="clear" w:color="auto" w:fill="auto"/>
            <w:noWrap/>
            <w:vAlign w:val="center"/>
            <w:hideMark/>
          </w:tcPr>
          <w:p w14:paraId="7BED03B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(0.14)</w:t>
            </w:r>
          </w:p>
        </w:tc>
        <w:tc>
          <w:tcPr>
            <w:tcW w:w="574" w:type="pct"/>
            <w:tcBorders>
              <w:top w:val="nil"/>
              <w:left w:val="nil"/>
              <w:bottom w:val="nil"/>
              <w:right w:val="nil"/>
            </w:tcBorders>
            <w:shd w:val="clear" w:color="auto" w:fill="auto"/>
            <w:noWrap/>
            <w:vAlign w:val="center"/>
            <w:hideMark/>
          </w:tcPr>
          <w:p w14:paraId="4EB46A6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(0.32)</w:t>
            </w:r>
          </w:p>
        </w:tc>
        <w:tc>
          <w:tcPr>
            <w:tcW w:w="638" w:type="pct"/>
            <w:tcBorders>
              <w:top w:val="nil"/>
              <w:left w:val="nil"/>
              <w:bottom w:val="nil"/>
              <w:right w:val="nil"/>
            </w:tcBorders>
            <w:shd w:val="clear" w:color="auto" w:fill="auto"/>
            <w:noWrap/>
            <w:vAlign w:val="center"/>
            <w:hideMark/>
          </w:tcPr>
          <w:p w14:paraId="7A63EDFA"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66AD7ED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(0.19)</w:t>
            </w:r>
          </w:p>
        </w:tc>
        <w:tc>
          <w:tcPr>
            <w:tcW w:w="557" w:type="pct"/>
            <w:tcBorders>
              <w:top w:val="nil"/>
              <w:left w:val="nil"/>
              <w:bottom w:val="nil"/>
              <w:right w:val="nil"/>
            </w:tcBorders>
            <w:shd w:val="clear" w:color="auto" w:fill="auto"/>
            <w:noWrap/>
            <w:vAlign w:val="center"/>
            <w:hideMark/>
          </w:tcPr>
          <w:p w14:paraId="28E8C59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(0.13)</w:t>
            </w:r>
          </w:p>
        </w:tc>
        <w:tc>
          <w:tcPr>
            <w:tcW w:w="335" w:type="pct"/>
            <w:tcBorders>
              <w:top w:val="nil"/>
              <w:left w:val="nil"/>
              <w:bottom w:val="nil"/>
              <w:right w:val="nil"/>
            </w:tcBorders>
            <w:shd w:val="clear" w:color="auto" w:fill="auto"/>
            <w:noWrap/>
            <w:vAlign w:val="center"/>
            <w:hideMark/>
          </w:tcPr>
          <w:p w14:paraId="04F2165E"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73A31DB" w14:textId="77777777" w:rsidTr="00EE68F9">
        <w:trPr>
          <w:trHeight w:val="300"/>
        </w:trPr>
        <w:tc>
          <w:tcPr>
            <w:tcW w:w="911" w:type="pct"/>
            <w:tcBorders>
              <w:top w:val="nil"/>
              <w:left w:val="nil"/>
              <w:bottom w:val="nil"/>
              <w:right w:val="nil"/>
            </w:tcBorders>
            <w:shd w:val="clear" w:color="auto" w:fill="auto"/>
            <w:noWrap/>
            <w:vAlign w:val="center"/>
            <w:hideMark/>
          </w:tcPr>
          <w:p w14:paraId="75714680"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691" w:type="pct"/>
            <w:tcBorders>
              <w:top w:val="nil"/>
              <w:left w:val="nil"/>
              <w:bottom w:val="nil"/>
              <w:right w:val="nil"/>
            </w:tcBorders>
            <w:shd w:val="clear" w:color="auto" w:fill="auto"/>
            <w:noWrap/>
            <w:vAlign w:val="center"/>
            <w:hideMark/>
          </w:tcPr>
          <w:p w14:paraId="15AA87B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129720.75*</w:t>
            </w:r>
          </w:p>
        </w:tc>
        <w:tc>
          <w:tcPr>
            <w:tcW w:w="577" w:type="pct"/>
            <w:tcBorders>
              <w:top w:val="nil"/>
              <w:left w:val="nil"/>
              <w:bottom w:val="nil"/>
              <w:right w:val="nil"/>
            </w:tcBorders>
            <w:shd w:val="clear" w:color="auto" w:fill="auto"/>
            <w:noWrap/>
            <w:vAlign w:val="center"/>
            <w:hideMark/>
          </w:tcPr>
          <w:p w14:paraId="4A259B5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-134.46*</w:t>
            </w:r>
          </w:p>
        </w:tc>
        <w:tc>
          <w:tcPr>
            <w:tcW w:w="574" w:type="pct"/>
            <w:tcBorders>
              <w:top w:val="nil"/>
              <w:left w:val="nil"/>
              <w:bottom w:val="nil"/>
              <w:right w:val="nil"/>
            </w:tcBorders>
            <w:shd w:val="clear" w:color="auto" w:fill="auto"/>
            <w:noWrap/>
            <w:vAlign w:val="center"/>
            <w:hideMark/>
          </w:tcPr>
          <w:p w14:paraId="1FC588B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133.67</w:t>
            </w:r>
          </w:p>
        </w:tc>
        <w:tc>
          <w:tcPr>
            <w:tcW w:w="638" w:type="pct"/>
            <w:tcBorders>
              <w:top w:val="nil"/>
              <w:left w:val="nil"/>
              <w:bottom w:val="nil"/>
              <w:right w:val="nil"/>
            </w:tcBorders>
            <w:shd w:val="clear" w:color="auto" w:fill="auto"/>
            <w:noWrap/>
            <w:vAlign w:val="center"/>
            <w:hideMark/>
          </w:tcPr>
          <w:p w14:paraId="78199C3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098B6A8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-122.48*</w:t>
            </w:r>
          </w:p>
        </w:tc>
        <w:tc>
          <w:tcPr>
            <w:tcW w:w="557" w:type="pct"/>
            <w:tcBorders>
              <w:top w:val="nil"/>
              <w:left w:val="nil"/>
              <w:bottom w:val="nil"/>
              <w:right w:val="nil"/>
            </w:tcBorders>
            <w:shd w:val="clear" w:color="auto" w:fill="auto"/>
            <w:noWrap/>
            <w:vAlign w:val="center"/>
            <w:hideMark/>
          </w:tcPr>
          <w:p w14:paraId="4482E13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-3018.63</w:t>
            </w:r>
          </w:p>
        </w:tc>
        <w:tc>
          <w:tcPr>
            <w:tcW w:w="335" w:type="pct"/>
            <w:tcBorders>
              <w:top w:val="nil"/>
              <w:left w:val="nil"/>
              <w:bottom w:val="nil"/>
              <w:right w:val="nil"/>
            </w:tcBorders>
            <w:shd w:val="clear" w:color="auto" w:fill="auto"/>
            <w:noWrap/>
            <w:vAlign w:val="center"/>
            <w:hideMark/>
          </w:tcPr>
          <w:p w14:paraId="6C06AD7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0.83</w:t>
            </w:r>
          </w:p>
        </w:tc>
      </w:tr>
      <w:tr w:rsidR="00E37084" w:rsidRPr="00E37084" w14:paraId="5633488B" w14:textId="77777777" w:rsidTr="00EE68F9">
        <w:trPr>
          <w:trHeight w:val="300"/>
        </w:trPr>
        <w:tc>
          <w:tcPr>
            <w:tcW w:w="911" w:type="pct"/>
            <w:tcBorders>
              <w:top w:val="nil"/>
              <w:left w:val="nil"/>
              <w:bottom w:val="nil"/>
              <w:right w:val="nil"/>
            </w:tcBorders>
            <w:shd w:val="clear" w:color="auto" w:fill="auto"/>
            <w:noWrap/>
            <w:vAlign w:val="center"/>
            <w:hideMark/>
          </w:tcPr>
          <w:p w14:paraId="6E97873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462BD91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77" w:type="pct"/>
            <w:tcBorders>
              <w:top w:val="nil"/>
              <w:left w:val="nil"/>
              <w:bottom w:val="nil"/>
              <w:right w:val="nil"/>
            </w:tcBorders>
            <w:shd w:val="clear" w:color="auto" w:fill="auto"/>
            <w:noWrap/>
            <w:vAlign w:val="center"/>
            <w:hideMark/>
          </w:tcPr>
          <w:p w14:paraId="1B35495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4" w:type="pct"/>
            <w:tcBorders>
              <w:top w:val="nil"/>
              <w:left w:val="nil"/>
              <w:bottom w:val="nil"/>
              <w:right w:val="nil"/>
            </w:tcBorders>
            <w:shd w:val="clear" w:color="auto" w:fill="auto"/>
            <w:noWrap/>
            <w:vAlign w:val="center"/>
            <w:hideMark/>
          </w:tcPr>
          <w:p w14:paraId="664A4DB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(0.66)</w:t>
            </w:r>
          </w:p>
        </w:tc>
        <w:tc>
          <w:tcPr>
            <w:tcW w:w="638" w:type="pct"/>
            <w:tcBorders>
              <w:top w:val="nil"/>
              <w:left w:val="nil"/>
              <w:bottom w:val="nil"/>
              <w:right w:val="nil"/>
            </w:tcBorders>
            <w:shd w:val="clear" w:color="auto" w:fill="auto"/>
            <w:noWrap/>
            <w:vAlign w:val="center"/>
            <w:hideMark/>
          </w:tcPr>
          <w:p w14:paraId="4B95370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366D12E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57" w:type="pct"/>
            <w:tcBorders>
              <w:top w:val="nil"/>
              <w:left w:val="nil"/>
              <w:bottom w:val="nil"/>
              <w:right w:val="nil"/>
            </w:tcBorders>
            <w:shd w:val="clear" w:color="auto" w:fill="auto"/>
            <w:noWrap/>
            <w:vAlign w:val="center"/>
            <w:hideMark/>
          </w:tcPr>
          <w:p w14:paraId="117B48C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335" w:type="pct"/>
            <w:tcBorders>
              <w:top w:val="nil"/>
              <w:left w:val="nil"/>
              <w:bottom w:val="nil"/>
              <w:right w:val="nil"/>
            </w:tcBorders>
            <w:shd w:val="clear" w:color="auto" w:fill="auto"/>
            <w:noWrap/>
            <w:vAlign w:val="center"/>
            <w:hideMark/>
          </w:tcPr>
          <w:p w14:paraId="41A4468C"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674A5287" w14:textId="77777777" w:rsidTr="00EE68F9">
        <w:trPr>
          <w:trHeight w:val="300"/>
        </w:trPr>
        <w:tc>
          <w:tcPr>
            <w:tcW w:w="911" w:type="pct"/>
            <w:tcBorders>
              <w:top w:val="nil"/>
              <w:left w:val="nil"/>
              <w:bottom w:val="nil"/>
              <w:right w:val="nil"/>
            </w:tcBorders>
            <w:shd w:val="clear" w:color="auto" w:fill="auto"/>
            <w:noWrap/>
            <w:vAlign w:val="center"/>
            <w:hideMark/>
          </w:tcPr>
          <w:p w14:paraId="0872D49E"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691" w:type="pct"/>
            <w:tcBorders>
              <w:top w:val="nil"/>
              <w:left w:val="nil"/>
              <w:bottom w:val="nil"/>
              <w:right w:val="nil"/>
            </w:tcBorders>
            <w:shd w:val="clear" w:color="auto" w:fill="auto"/>
            <w:noWrap/>
            <w:vAlign w:val="center"/>
            <w:hideMark/>
          </w:tcPr>
          <w:p w14:paraId="385355E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21717.15</w:t>
            </w:r>
          </w:p>
        </w:tc>
        <w:tc>
          <w:tcPr>
            <w:tcW w:w="577" w:type="pct"/>
            <w:tcBorders>
              <w:top w:val="nil"/>
              <w:left w:val="nil"/>
              <w:bottom w:val="nil"/>
              <w:right w:val="nil"/>
            </w:tcBorders>
            <w:shd w:val="clear" w:color="auto" w:fill="auto"/>
            <w:noWrap/>
            <w:vAlign w:val="center"/>
            <w:hideMark/>
          </w:tcPr>
          <w:p w14:paraId="7012D0E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-56.02</w:t>
            </w:r>
          </w:p>
        </w:tc>
        <w:tc>
          <w:tcPr>
            <w:tcW w:w="574" w:type="pct"/>
            <w:tcBorders>
              <w:top w:val="nil"/>
              <w:left w:val="nil"/>
              <w:bottom w:val="nil"/>
              <w:right w:val="nil"/>
            </w:tcBorders>
            <w:shd w:val="clear" w:color="auto" w:fill="auto"/>
            <w:noWrap/>
            <w:vAlign w:val="center"/>
            <w:hideMark/>
          </w:tcPr>
          <w:p w14:paraId="1CE5669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141.29</w:t>
            </w:r>
          </w:p>
        </w:tc>
        <w:tc>
          <w:tcPr>
            <w:tcW w:w="638" w:type="pct"/>
            <w:tcBorders>
              <w:top w:val="nil"/>
              <w:left w:val="nil"/>
              <w:bottom w:val="nil"/>
              <w:right w:val="nil"/>
            </w:tcBorders>
            <w:shd w:val="clear" w:color="auto" w:fill="auto"/>
            <w:noWrap/>
            <w:vAlign w:val="center"/>
            <w:hideMark/>
          </w:tcPr>
          <w:p w14:paraId="279E8B8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085A67A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-39.18*</w:t>
            </w:r>
          </w:p>
        </w:tc>
        <w:tc>
          <w:tcPr>
            <w:tcW w:w="557" w:type="pct"/>
            <w:tcBorders>
              <w:top w:val="nil"/>
              <w:left w:val="nil"/>
              <w:bottom w:val="nil"/>
              <w:right w:val="nil"/>
            </w:tcBorders>
            <w:shd w:val="clear" w:color="auto" w:fill="auto"/>
            <w:noWrap/>
            <w:vAlign w:val="center"/>
            <w:hideMark/>
          </w:tcPr>
          <w:p w14:paraId="0F46FCF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-1201*</w:t>
            </w:r>
          </w:p>
        </w:tc>
        <w:tc>
          <w:tcPr>
            <w:tcW w:w="335" w:type="pct"/>
            <w:tcBorders>
              <w:top w:val="nil"/>
              <w:left w:val="nil"/>
              <w:bottom w:val="nil"/>
              <w:right w:val="nil"/>
            </w:tcBorders>
            <w:shd w:val="clear" w:color="auto" w:fill="auto"/>
            <w:noWrap/>
            <w:vAlign w:val="center"/>
            <w:hideMark/>
          </w:tcPr>
          <w:p w14:paraId="3164136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0.73</w:t>
            </w:r>
          </w:p>
        </w:tc>
      </w:tr>
      <w:tr w:rsidR="00E37084" w:rsidRPr="00E37084" w14:paraId="2C0A1E76" w14:textId="77777777" w:rsidTr="00EE68F9">
        <w:trPr>
          <w:trHeight w:val="300"/>
        </w:trPr>
        <w:tc>
          <w:tcPr>
            <w:tcW w:w="911" w:type="pct"/>
            <w:tcBorders>
              <w:top w:val="nil"/>
              <w:left w:val="nil"/>
              <w:bottom w:val="single" w:sz="4" w:space="0" w:color="auto"/>
              <w:right w:val="nil"/>
            </w:tcBorders>
            <w:shd w:val="clear" w:color="auto" w:fill="auto"/>
            <w:noWrap/>
            <w:vAlign w:val="center"/>
            <w:hideMark/>
          </w:tcPr>
          <w:p w14:paraId="294CF0A4"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691" w:type="pct"/>
            <w:tcBorders>
              <w:top w:val="nil"/>
              <w:left w:val="nil"/>
              <w:bottom w:val="single" w:sz="4" w:space="0" w:color="auto"/>
              <w:right w:val="nil"/>
            </w:tcBorders>
            <w:shd w:val="clear" w:color="auto" w:fill="auto"/>
            <w:noWrap/>
            <w:vAlign w:val="center"/>
            <w:hideMark/>
          </w:tcPr>
          <w:p w14:paraId="07B8972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(0.42)</w:t>
            </w:r>
          </w:p>
        </w:tc>
        <w:tc>
          <w:tcPr>
            <w:tcW w:w="577" w:type="pct"/>
            <w:tcBorders>
              <w:top w:val="nil"/>
              <w:left w:val="nil"/>
              <w:bottom w:val="single" w:sz="4" w:space="0" w:color="auto"/>
              <w:right w:val="nil"/>
            </w:tcBorders>
            <w:shd w:val="clear" w:color="auto" w:fill="auto"/>
            <w:noWrap/>
            <w:vAlign w:val="center"/>
            <w:hideMark/>
          </w:tcPr>
          <w:p w14:paraId="4F8A6E6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(0.17)</w:t>
            </w:r>
          </w:p>
        </w:tc>
        <w:tc>
          <w:tcPr>
            <w:tcW w:w="574" w:type="pct"/>
            <w:tcBorders>
              <w:top w:val="nil"/>
              <w:left w:val="nil"/>
              <w:bottom w:val="single" w:sz="4" w:space="0" w:color="auto"/>
              <w:right w:val="nil"/>
            </w:tcBorders>
            <w:shd w:val="clear" w:color="auto" w:fill="auto"/>
            <w:noWrap/>
            <w:vAlign w:val="center"/>
            <w:hideMark/>
          </w:tcPr>
          <w:p w14:paraId="0CBA661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(0.46)</w:t>
            </w:r>
          </w:p>
        </w:tc>
        <w:tc>
          <w:tcPr>
            <w:tcW w:w="638" w:type="pct"/>
            <w:tcBorders>
              <w:top w:val="nil"/>
              <w:left w:val="nil"/>
              <w:bottom w:val="single" w:sz="4" w:space="0" w:color="auto"/>
              <w:right w:val="nil"/>
            </w:tcBorders>
            <w:shd w:val="clear" w:color="auto" w:fill="auto"/>
            <w:noWrap/>
            <w:vAlign w:val="center"/>
            <w:hideMark/>
          </w:tcPr>
          <w:p w14:paraId="65EA95A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17" w:type="pct"/>
            <w:tcBorders>
              <w:top w:val="nil"/>
              <w:left w:val="nil"/>
              <w:bottom w:val="single" w:sz="4" w:space="0" w:color="auto"/>
              <w:right w:val="nil"/>
            </w:tcBorders>
            <w:shd w:val="clear" w:color="auto" w:fill="auto"/>
            <w:noWrap/>
            <w:vAlign w:val="center"/>
            <w:hideMark/>
          </w:tcPr>
          <w:p w14:paraId="737C350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57" w:type="pct"/>
            <w:tcBorders>
              <w:top w:val="nil"/>
              <w:left w:val="nil"/>
              <w:bottom w:val="single" w:sz="4" w:space="0" w:color="auto"/>
              <w:right w:val="nil"/>
            </w:tcBorders>
            <w:shd w:val="clear" w:color="auto" w:fill="auto"/>
            <w:noWrap/>
            <w:vAlign w:val="center"/>
            <w:hideMark/>
          </w:tcPr>
          <w:p w14:paraId="7F0C50E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335" w:type="pct"/>
            <w:tcBorders>
              <w:top w:val="nil"/>
              <w:left w:val="nil"/>
              <w:bottom w:val="single" w:sz="4" w:space="0" w:color="auto"/>
              <w:right w:val="nil"/>
            </w:tcBorders>
            <w:shd w:val="clear" w:color="auto" w:fill="auto"/>
            <w:noWrap/>
            <w:vAlign w:val="center"/>
            <w:hideMark/>
          </w:tcPr>
          <w:p w14:paraId="16894AE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65D27ACC" w14:textId="00ABF0D4" w:rsidR="00E37084" w:rsidRPr="00E37084" w:rsidRDefault="00EE68F9" w:rsidP="00EE68F9">
      <w:pPr>
        <w:pStyle w:val="Notesourcetext"/>
      </w:pPr>
      <w:r>
        <w:t>Note: * denotes significance at the 95% level</w:t>
      </w:r>
    </w:p>
    <w:p w14:paraId="60DA8B43" w14:textId="77777777" w:rsidR="006574BC" w:rsidRDefault="006574BC" w:rsidP="006574BC"/>
    <w:p w14:paraId="3B1D61D5" w14:textId="77777777" w:rsidR="007559C7" w:rsidRDefault="007559C7">
      <w:pPr>
        <w:spacing w:after="0" w:line="240" w:lineRule="auto"/>
      </w:pPr>
      <w:r>
        <w:br w:type="page"/>
      </w:r>
    </w:p>
    <w:p w14:paraId="713EEFB5" w14:textId="77777777" w:rsidR="00670D13" w:rsidRDefault="00670D13" w:rsidP="00670D13">
      <w:pPr>
        <w:pStyle w:val="Caption"/>
      </w:pPr>
      <w:bookmarkStart w:id="51" w:name="_Toc491356913"/>
      <w:bookmarkStart w:id="52" w:name="_Toc505345891"/>
      <w:r>
        <w:lastRenderedPageBreak/>
        <w:t xml:space="preserve">Table </w:t>
      </w:r>
      <w:r w:rsidR="00915ABD">
        <w:fldChar w:fldCharType="begin"/>
      </w:r>
      <w:r>
        <w:instrText xml:space="preserve"> SEQ Table \* ARABIC </w:instrText>
      </w:r>
      <w:r w:rsidR="00915ABD">
        <w:fldChar w:fldCharType="separate"/>
      </w:r>
      <w:r w:rsidR="00F709AB">
        <w:rPr>
          <w:noProof/>
        </w:rPr>
        <w:t>8</w:t>
      </w:r>
      <w:r w:rsidR="00915ABD">
        <w:fldChar w:fldCharType="end"/>
      </w:r>
      <w:r>
        <w:t xml:space="preserve"> Regression results for land use by irrigation activity, NSW Murray (below the Barmah Choke)</w:t>
      </w:r>
      <w:bookmarkEnd w:id="51"/>
      <w:bookmarkEnd w:id="52"/>
    </w:p>
    <w:tbl>
      <w:tblPr>
        <w:tblW w:w="5000" w:type="pct"/>
        <w:tblLook w:val="04A0" w:firstRow="1" w:lastRow="0" w:firstColumn="1" w:lastColumn="0" w:noHBand="0" w:noVBand="1"/>
      </w:tblPr>
      <w:tblGrid>
        <w:gridCol w:w="1673"/>
        <w:gridCol w:w="1157"/>
        <w:gridCol w:w="1063"/>
        <w:gridCol w:w="1058"/>
        <w:gridCol w:w="1174"/>
        <w:gridCol w:w="1319"/>
        <w:gridCol w:w="1009"/>
        <w:gridCol w:w="617"/>
      </w:tblGrid>
      <w:tr w:rsidR="00E37084" w:rsidRPr="00E37084" w14:paraId="130D0609" w14:textId="77777777" w:rsidTr="00EE68F9">
        <w:trPr>
          <w:trHeight w:val="510"/>
        </w:trPr>
        <w:tc>
          <w:tcPr>
            <w:tcW w:w="922" w:type="pct"/>
            <w:tcBorders>
              <w:top w:val="single" w:sz="4" w:space="0" w:color="auto"/>
              <w:left w:val="nil"/>
              <w:bottom w:val="single" w:sz="4" w:space="0" w:color="auto"/>
              <w:right w:val="nil"/>
            </w:tcBorders>
            <w:shd w:val="clear" w:color="auto" w:fill="auto"/>
            <w:noWrap/>
            <w:vAlign w:val="center"/>
            <w:hideMark/>
          </w:tcPr>
          <w:p w14:paraId="22017FBB"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638" w:type="pct"/>
            <w:tcBorders>
              <w:top w:val="single" w:sz="4" w:space="0" w:color="auto"/>
              <w:left w:val="nil"/>
              <w:bottom w:val="single" w:sz="4" w:space="0" w:color="auto"/>
              <w:right w:val="nil"/>
            </w:tcBorders>
            <w:shd w:val="clear" w:color="auto" w:fill="auto"/>
            <w:noWrap/>
            <w:vAlign w:val="center"/>
            <w:hideMark/>
          </w:tcPr>
          <w:p w14:paraId="2E8DDE22"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86" w:type="pct"/>
            <w:tcBorders>
              <w:top w:val="single" w:sz="4" w:space="0" w:color="auto"/>
              <w:left w:val="nil"/>
              <w:bottom w:val="single" w:sz="4" w:space="0" w:color="auto"/>
              <w:right w:val="nil"/>
            </w:tcBorders>
            <w:shd w:val="clear" w:color="auto" w:fill="auto"/>
            <w:noWrap/>
            <w:vAlign w:val="center"/>
            <w:hideMark/>
          </w:tcPr>
          <w:p w14:paraId="138F96D8"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583" w:type="pct"/>
            <w:tcBorders>
              <w:top w:val="single" w:sz="4" w:space="0" w:color="auto"/>
              <w:left w:val="nil"/>
              <w:bottom w:val="single" w:sz="4" w:space="0" w:color="auto"/>
              <w:right w:val="nil"/>
            </w:tcBorders>
            <w:shd w:val="clear" w:color="auto" w:fill="auto"/>
            <w:vAlign w:val="center"/>
            <w:hideMark/>
          </w:tcPr>
          <w:p w14:paraId="069AA3CE"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Output </w:t>
            </w:r>
            <w:r w:rsidRPr="00E37084">
              <w:rPr>
                <w:rFonts w:eastAsia="Times New Roman"/>
                <w:b/>
                <w:bCs/>
                <w:color w:val="000000"/>
                <w:sz w:val="19"/>
                <w:szCs w:val="19"/>
                <w:lang w:eastAsia="en-AU"/>
              </w:rPr>
              <w:br/>
              <w:t>price (Y)</w:t>
            </w:r>
          </w:p>
        </w:tc>
        <w:tc>
          <w:tcPr>
            <w:tcW w:w="647" w:type="pct"/>
            <w:tcBorders>
              <w:top w:val="single" w:sz="4" w:space="0" w:color="auto"/>
              <w:left w:val="nil"/>
              <w:bottom w:val="single" w:sz="4" w:space="0" w:color="auto"/>
              <w:right w:val="nil"/>
            </w:tcBorders>
            <w:shd w:val="clear" w:color="auto" w:fill="auto"/>
            <w:vAlign w:val="center"/>
            <w:hideMark/>
          </w:tcPr>
          <w:p w14:paraId="758AC650"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r w:rsidRPr="00E37084">
              <w:rPr>
                <w:rFonts w:eastAsia="Times New Roman"/>
                <w:b/>
                <w:bCs/>
                <w:color w:val="000000"/>
                <w:sz w:val="19"/>
                <w:szCs w:val="19"/>
                <w:lang w:eastAsia="en-AU"/>
              </w:rPr>
              <w:br/>
              <w:t>price (CY)</w:t>
            </w:r>
          </w:p>
        </w:tc>
        <w:tc>
          <w:tcPr>
            <w:tcW w:w="727" w:type="pct"/>
            <w:tcBorders>
              <w:top w:val="single" w:sz="4" w:space="0" w:color="auto"/>
              <w:left w:val="nil"/>
              <w:bottom w:val="single" w:sz="4" w:space="0" w:color="auto"/>
              <w:right w:val="nil"/>
            </w:tcBorders>
            <w:shd w:val="clear" w:color="auto" w:fill="auto"/>
            <w:noWrap/>
            <w:vAlign w:val="center"/>
            <w:hideMark/>
          </w:tcPr>
          <w:p w14:paraId="67E6D8E8"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56" w:type="pct"/>
            <w:tcBorders>
              <w:top w:val="single" w:sz="4" w:space="0" w:color="auto"/>
              <w:left w:val="nil"/>
              <w:bottom w:val="single" w:sz="4" w:space="0" w:color="auto"/>
              <w:right w:val="nil"/>
            </w:tcBorders>
            <w:shd w:val="clear" w:color="auto" w:fill="auto"/>
            <w:noWrap/>
            <w:vAlign w:val="center"/>
            <w:hideMark/>
          </w:tcPr>
          <w:p w14:paraId="1E1C2136"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40" w:type="pct"/>
            <w:tcBorders>
              <w:top w:val="single" w:sz="4" w:space="0" w:color="auto"/>
              <w:left w:val="nil"/>
              <w:bottom w:val="single" w:sz="4" w:space="0" w:color="auto"/>
              <w:right w:val="nil"/>
            </w:tcBorders>
            <w:shd w:val="clear" w:color="auto" w:fill="auto"/>
            <w:noWrap/>
            <w:vAlign w:val="center"/>
            <w:hideMark/>
          </w:tcPr>
          <w:p w14:paraId="3832E1CB"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148725F2" w14:textId="77777777" w:rsidTr="00EE68F9">
        <w:trPr>
          <w:trHeight w:val="300"/>
        </w:trPr>
        <w:tc>
          <w:tcPr>
            <w:tcW w:w="922" w:type="pct"/>
            <w:tcBorders>
              <w:top w:val="nil"/>
              <w:left w:val="nil"/>
              <w:bottom w:val="nil"/>
              <w:right w:val="nil"/>
            </w:tcBorders>
            <w:shd w:val="clear" w:color="auto" w:fill="auto"/>
            <w:noWrap/>
            <w:vAlign w:val="center"/>
            <w:hideMark/>
          </w:tcPr>
          <w:p w14:paraId="75AD4036"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638" w:type="pct"/>
            <w:tcBorders>
              <w:top w:val="nil"/>
              <w:left w:val="nil"/>
              <w:bottom w:val="nil"/>
              <w:right w:val="nil"/>
            </w:tcBorders>
            <w:shd w:val="clear" w:color="auto" w:fill="auto"/>
            <w:noWrap/>
            <w:vAlign w:val="center"/>
            <w:hideMark/>
          </w:tcPr>
          <w:p w14:paraId="1285599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8518.54*</w:t>
            </w:r>
          </w:p>
        </w:tc>
        <w:tc>
          <w:tcPr>
            <w:tcW w:w="586" w:type="pct"/>
            <w:tcBorders>
              <w:top w:val="nil"/>
              <w:left w:val="nil"/>
              <w:bottom w:val="nil"/>
              <w:right w:val="nil"/>
            </w:tcBorders>
            <w:shd w:val="clear" w:color="auto" w:fill="auto"/>
            <w:noWrap/>
            <w:vAlign w:val="center"/>
            <w:hideMark/>
          </w:tcPr>
          <w:p w14:paraId="20CBE1E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-12.91*</w:t>
            </w:r>
          </w:p>
        </w:tc>
        <w:tc>
          <w:tcPr>
            <w:tcW w:w="583" w:type="pct"/>
            <w:tcBorders>
              <w:top w:val="nil"/>
              <w:left w:val="nil"/>
              <w:bottom w:val="nil"/>
              <w:right w:val="nil"/>
            </w:tcBorders>
            <w:shd w:val="clear" w:color="auto" w:fill="auto"/>
            <w:noWrap/>
            <w:vAlign w:val="center"/>
            <w:hideMark/>
          </w:tcPr>
          <w:p w14:paraId="48A7580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56E7F175"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1B27003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-7.24</w:t>
            </w:r>
          </w:p>
        </w:tc>
        <w:tc>
          <w:tcPr>
            <w:tcW w:w="556" w:type="pct"/>
            <w:tcBorders>
              <w:top w:val="nil"/>
              <w:left w:val="nil"/>
              <w:bottom w:val="nil"/>
              <w:right w:val="nil"/>
            </w:tcBorders>
            <w:shd w:val="clear" w:color="auto" w:fill="auto"/>
            <w:noWrap/>
            <w:vAlign w:val="center"/>
            <w:hideMark/>
          </w:tcPr>
          <w:p w14:paraId="423F978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31.49</w:t>
            </w:r>
          </w:p>
        </w:tc>
        <w:tc>
          <w:tcPr>
            <w:tcW w:w="340" w:type="pct"/>
            <w:tcBorders>
              <w:top w:val="nil"/>
              <w:left w:val="nil"/>
              <w:bottom w:val="nil"/>
              <w:right w:val="nil"/>
            </w:tcBorders>
            <w:shd w:val="clear" w:color="auto" w:fill="auto"/>
            <w:noWrap/>
            <w:vAlign w:val="center"/>
            <w:hideMark/>
          </w:tcPr>
          <w:p w14:paraId="1CA5825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0.83</w:t>
            </w:r>
          </w:p>
        </w:tc>
      </w:tr>
      <w:tr w:rsidR="00E37084" w:rsidRPr="00E37084" w14:paraId="0553AB5C" w14:textId="77777777" w:rsidTr="00EE68F9">
        <w:trPr>
          <w:trHeight w:val="300"/>
        </w:trPr>
        <w:tc>
          <w:tcPr>
            <w:tcW w:w="922" w:type="pct"/>
            <w:tcBorders>
              <w:top w:val="nil"/>
              <w:left w:val="nil"/>
              <w:bottom w:val="nil"/>
              <w:right w:val="nil"/>
            </w:tcBorders>
            <w:shd w:val="clear" w:color="auto" w:fill="auto"/>
            <w:noWrap/>
            <w:vAlign w:val="center"/>
            <w:hideMark/>
          </w:tcPr>
          <w:p w14:paraId="1FC7679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3FDCF76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86" w:type="pct"/>
            <w:tcBorders>
              <w:top w:val="nil"/>
              <w:left w:val="nil"/>
              <w:bottom w:val="nil"/>
              <w:right w:val="nil"/>
            </w:tcBorders>
            <w:shd w:val="clear" w:color="auto" w:fill="auto"/>
            <w:noWrap/>
            <w:vAlign w:val="center"/>
            <w:hideMark/>
          </w:tcPr>
          <w:p w14:paraId="1B0CCA9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3" w:type="pct"/>
            <w:tcBorders>
              <w:top w:val="nil"/>
              <w:left w:val="nil"/>
              <w:bottom w:val="nil"/>
              <w:right w:val="nil"/>
            </w:tcBorders>
            <w:shd w:val="clear" w:color="auto" w:fill="auto"/>
            <w:noWrap/>
            <w:vAlign w:val="center"/>
            <w:hideMark/>
          </w:tcPr>
          <w:p w14:paraId="54C4F35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22B78348"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7534299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(0.13)</w:t>
            </w:r>
          </w:p>
        </w:tc>
        <w:tc>
          <w:tcPr>
            <w:tcW w:w="556" w:type="pct"/>
            <w:tcBorders>
              <w:top w:val="nil"/>
              <w:left w:val="nil"/>
              <w:bottom w:val="nil"/>
              <w:right w:val="nil"/>
            </w:tcBorders>
            <w:shd w:val="clear" w:color="auto" w:fill="auto"/>
            <w:noWrap/>
            <w:vAlign w:val="center"/>
            <w:hideMark/>
          </w:tcPr>
          <w:p w14:paraId="6D2D384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(0.85)</w:t>
            </w:r>
          </w:p>
        </w:tc>
        <w:tc>
          <w:tcPr>
            <w:tcW w:w="340" w:type="pct"/>
            <w:tcBorders>
              <w:top w:val="nil"/>
              <w:left w:val="nil"/>
              <w:bottom w:val="nil"/>
              <w:right w:val="nil"/>
            </w:tcBorders>
            <w:shd w:val="clear" w:color="auto" w:fill="auto"/>
            <w:noWrap/>
            <w:vAlign w:val="center"/>
            <w:hideMark/>
          </w:tcPr>
          <w:p w14:paraId="7AD62B9A"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BF2A10D" w14:textId="77777777" w:rsidTr="00EE68F9">
        <w:trPr>
          <w:trHeight w:val="300"/>
        </w:trPr>
        <w:tc>
          <w:tcPr>
            <w:tcW w:w="922" w:type="pct"/>
            <w:tcBorders>
              <w:top w:val="nil"/>
              <w:left w:val="nil"/>
              <w:bottom w:val="nil"/>
              <w:right w:val="nil"/>
            </w:tcBorders>
            <w:shd w:val="clear" w:color="auto" w:fill="auto"/>
            <w:noWrap/>
            <w:vAlign w:val="center"/>
            <w:hideMark/>
          </w:tcPr>
          <w:p w14:paraId="75E19800"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638" w:type="pct"/>
            <w:tcBorders>
              <w:top w:val="nil"/>
              <w:left w:val="nil"/>
              <w:bottom w:val="nil"/>
              <w:right w:val="nil"/>
            </w:tcBorders>
            <w:shd w:val="clear" w:color="auto" w:fill="auto"/>
            <w:noWrap/>
            <w:vAlign w:val="center"/>
            <w:hideMark/>
          </w:tcPr>
          <w:p w14:paraId="6A911EF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533.12*</w:t>
            </w:r>
          </w:p>
        </w:tc>
        <w:tc>
          <w:tcPr>
            <w:tcW w:w="586" w:type="pct"/>
            <w:tcBorders>
              <w:top w:val="nil"/>
              <w:left w:val="nil"/>
              <w:bottom w:val="nil"/>
              <w:right w:val="nil"/>
            </w:tcBorders>
            <w:shd w:val="clear" w:color="auto" w:fill="auto"/>
            <w:noWrap/>
            <w:vAlign w:val="center"/>
            <w:hideMark/>
          </w:tcPr>
          <w:p w14:paraId="5C5D404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-0.36</w:t>
            </w:r>
          </w:p>
        </w:tc>
        <w:tc>
          <w:tcPr>
            <w:tcW w:w="583" w:type="pct"/>
            <w:tcBorders>
              <w:top w:val="nil"/>
              <w:left w:val="nil"/>
              <w:bottom w:val="nil"/>
              <w:right w:val="nil"/>
            </w:tcBorders>
            <w:shd w:val="clear" w:color="auto" w:fill="auto"/>
            <w:noWrap/>
            <w:vAlign w:val="center"/>
            <w:hideMark/>
          </w:tcPr>
          <w:p w14:paraId="00786C4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26DF3411"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5BDD3A3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0.26</w:t>
            </w:r>
          </w:p>
        </w:tc>
        <w:tc>
          <w:tcPr>
            <w:tcW w:w="556" w:type="pct"/>
            <w:tcBorders>
              <w:top w:val="nil"/>
              <w:left w:val="nil"/>
              <w:bottom w:val="nil"/>
              <w:right w:val="nil"/>
            </w:tcBorders>
            <w:shd w:val="clear" w:color="auto" w:fill="auto"/>
            <w:noWrap/>
            <w:vAlign w:val="center"/>
            <w:hideMark/>
          </w:tcPr>
          <w:p w14:paraId="510ED3E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-25.42</w:t>
            </w:r>
          </w:p>
        </w:tc>
        <w:tc>
          <w:tcPr>
            <w:tcW w:w="340" w:type="pct"/>
            <w:tcBorders>
              <w:top w:val="nil"/>
              <w:left w:val="nil"/>
              <w:bottom w:val="nil"/>
              <w:right w:val="nil"/>
            </w:tcBorders>
            <w:shd w:val="clear" w:color="auto" w:fill="auto"/>
            <w:noWrap/>
            <w:vAlign w:val="center"/>
            <w:hideMark/>
          </w:tcPr>
          <w:p w14:paraId="40E4934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0.61</w:t>
            </w:r>
          </w:p>
        </w:tc>
      </w:tr>
      <w:tr w:rsidR="00E37084" w:rsidRPr="00E37084" w14:paraId="118172B4" w14:textId="77777777" w:rsidTr="00EE68F9">
        <w:trPr>
          <w:trHeight w:val="300"/>
        </w:trPr>
        <w:tc>
          <w:tcPr>
            <w:tcW w:w="922" w:type="pct"/>
            <w:tcBorders>
              <w:top w:val="nil"/>
              <w:left w:val="nil"/>
              <w:bottom w:val="nil"/>
              <w:right w:val="nil"/>
            </w:tcBorders>
            <w:shd w:val="clear" w:color="auto" w:fill="auto"/>
            <w:noWrap/>
            <w:vAlign w:val="center"/>
            <w:hideMark/>
          </w:tcPr>
          <w:p w14:paraId="4619212D"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4D1A90B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86" w:type="pct"/>
            <w:tcBorders>
              <w:top w:val="nil"/>
              <w:left w:val="nil"/>
              <w:bottom w:val="nil"/>
              <w:right w:val="nil"/>
            </w:tcBorders>
            <w:shd w:val="clear" w:color="auto" w:fill="auto"/>
            <w:noWrap/>
            <w:vAlign w:val="center"/>
            <w:hideMark/>
          </w:tcPr>
          <w:p w14:paraId="0F2DABD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(0.10)</w:t>
            </w:r>
          </w:p>
        </w:tc>
        <w:tc>
          <w:tcPr>
            <w:tcW w:w="583" w:type="pct"/>
            <w:tcBorders>
              <w:top w:val="nil"/>
              <w:left w:val="nil"/>
              <w:bottom w:val="nil"/>
              <w:right w:val="nil"/>
            </w:tcBorders>
            <w:shd w:val="clear" w:color="auto" w:fill="auto"/>
            <w:noWrap/>
            <w:vAlign w:val="center"/>
            <w:hideMark/>
          </w:tcPr>
          <w:p w14:paraId="66274E1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0CECD960"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755BF0B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(0.41)</w:t>
            </w:r>
          </w:p>
        </w:tc>
        <w:tc>
          <w:tcPr>
            <w:tcW w:w="556" w:type="pct"/>
            <w:tcBorders>
              <w:top w:val="nil"/>
              <w:left w:val="nil"/>
              <w:bottom w:val="nil"/>
              <w:right w:val="nil"/>
            </w:tcBorders>
            <w:shd w:val="clear" w:color="auto" w:fill="auto"/>
            <w:noWrap/>
            <w:vAlign w:val="center"/>
            <w:hideMark/>
          </w:tcPr>
          <w:p w14:paraId="632FA40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340" w:type="pct"/>
            <w:tcBorders>
              <w:top w:val="nil"/>
              <w:left w:val="nil"/>
              <w:bottom w:val="nil"/>
              <w:right w:val="nil"/>
            </w:tcBorders>
            <w:shd w:val="clear" w:color="auto" w:fill="auto"/>
            <w:noWrap/>
            <w:vAlign w:val="center"/>
            <w:hideMark/>
          </w:tcPr>
          <w:p w14:paraId="35B590D1"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7E9E2C97" w14:textId="77777777" w:rsidTr="00EE68F9">
        <w:trPr>
          <w:trHeight w:val="300"/>
        </w:trPr>
        <w:tc>
          <w:tcPr>
            <w:tcW w:w="922" w:type="pct"/>
            <w:tcBorders>
              <w:top w:val="nil"/>
              <w:left w:val="nil"/>
              <w:bottom w:val="nil"/>
              <w:right w:val="nil"/>
            </w:tcBorders>
            <w:shd w:val="clear" w:color="auto" w:fill="auto"/>
            <w:noWrap/>
            <w:vAlign w:val="center"/>
            <w:hideMark/>
          </w:tcPr>
          <w:p w14:paraId="2E1A0F86"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638" w:type="pct"/>
            <w:tcBorders>
              <w:top w:val="nil"/>
              <w:left w:val="nil"/>
              <w:bottom w:val="nil"/>
              <w:right w:val="nil"/>
            </w:tcBorders>
            <w:shd w:val="clear" w:color="auto" w:fill="auto"/>
            <w:noWrap/>
            <w:vAlign w:val="center"/>
            <w:hideMark/>
          </w:tcPr>
          <w:p w14:paraId="38D260F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1348.98</w:t>
            </w:r>
          </w:p>
        </w:tc>
        <w:tc>
          <w:tcPr>
            <w:tcW w:w="586" w:type="pct"/>
            <w:tcBorders>
              <w:top w:val="nil"/>
              <w:left w:val="nil"/>
              <w:bottom w:val="nil"/>
              <w:right w:val="nil"/>
            </w:tcBorders>
            <w:shd w:val="clear" w:color="auto" w:fill="auto"/>
            <w:noWrap/>
            <w:vAlign w:val="center"/>
            <w:hideMark/>
          </w:tcPr>
          <w:p w14:paraId="79DFDDE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-2.55*</w:t>
            </w:r>
          </w:p>
        </w:tc>
        <w:tc>
          <w:tcPr>
            <w:tcW w:w="583" w:type="pct"/>
            <w:tcBorders>
              <w:top w:val="nil"/>
              <w:left w:val="nil"/>
              <w:bottom w:val="nil"/>
              <w:right w:val="nil"/>
            </w:tcBorders>
            <w:shd w:val="clear" w:color="auto" w:fill="auto"/>
            <w:noWrap/>
            <w:vAlign w:val="center"/>
            <w:hideMark/>
          </w:tcPr>
          <w:p w14:paraId="1C506A1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4.48</w:t>
            </w:r>
          </w:p>
        </w:tc>
        <w:tc>
          <w:tcPr>
            <w:tcW w:w="647" w:type="pct"/>
            <w:tcBorders>
              <w:top w:val="nil"/>
              <w:left w:val="nil"/>
              <w:bottom w:val="nil"/>
              <w:right w:val="nil"/>
            </w:tcBorders>
            <w:shd w:val="clear" w:color="auto" w:fill="auto"/>
            <w:noWrap/>
            <w:vAlign w:val="center"/>
            <w:hideMark/>
          </w:tcPr>
          <w:p w14:paraId="5401D9ED"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66124B7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-2.11*</w:t>
            </w:r>
          </w:p>
        </w:tc>
        <w:tc>
          <w:tcPr>
            <w:tcW w:w="556" w:type="pct"/>
            <w:tcBorders>
              <w:top w:val="nil"/>
              <w:left w:val="nil"/>
              <w:bottom w:val="nil"/>
              <w:right w:val="nil"/>
            </w:tcBorders>
            <w:shd w:val="clear" w:color="auto" w:fill="auto"/>
            <w:noWrap/>
            <w:vAlign w:val="center"/>
            <w:hideMark/>
          </w:tcPr>
          <w:p w14:paraId="66E4E89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30.16</w:t>
            </w:r>
          </w:p>
        </w:tc>
        <w:tc>
          <w:tcPr>
            <w:tcW w:w="340" w:type="pct"/>
            <w:tcBorders>
              <w:top w:val="nil"/>
              <w:left w:val="nil"/>
              <w:bottom w:val="nil"/>
              <w:right w:val="nil"/>
            </w:tcBorders>
            <w:shd w:val="clear" w:color="auto" w:fill="auto"/>
            <w:noWrap/>
            <w:vAlign w:val="center"/>
            <w:hideMark/>
          </w:tcPr>
          <w:p w14:paraId="76BAFD8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0.89</w:t>
            </w:r>
          </w:p>
        </w:tc>
      </w:tr>
      <w:tr w:rsidR="00E37084" w:rsidRPr="00E37084" w14:paraId="23D9EF69" w14:textId="77777777" w:rsidTr="00EE68F9">
        <w:trPr>
          <w:trHeight w:val="300"/>
        </w:trPr>
        <w:tc>
          <w:tcPr>
            <w:tcW w:w="922" w:type="pct"/>
            <w:tcBorders>
              <w:top w:val="nil"/>
              <w:left w:val="nil"/>
              <w:bottom w:val="nil"/>
              <w:right w:val="nil"/>
            </w:tcBorders>
            <w:shd w:val="clear" w:color="auto" w:fill="auto"/>
            <w:noWrap/>
            <w:vAlign w:val="center"/>
            <w:hideMark/>
          </w:tcPr>
          <w:p w14:paraId="15218E6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435FB38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(0.08)</w:t>
            </w:r>
          </w:p>
        </w:tc>
        <w:tc>
          <w:tcPr>
            <w:tcW w:w="586" w:type="pct"/>
            <w:tcBorders>
              <w:top w:val="nil"/>
              <w:left w:val="nil"/>
              <w:bottom w:val="nil"/>
              <w:right w:val="nil"/>
            </w:tcBorders>
            <w:shd w:val="clear" w:color="auto" w:fill="auto"/>
            <w:noWrap/>
            <w:vAlign w:val="center"/>
            <w:hideMark/>
          </w:tcPr>
          <w:p w14:paraId="4977BDF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83" w:type="pct"/>
            <w:tcBorders>
              <w:top w:val="nil"/>
              <w:left w:val="nil"/>
              <w:bottom w:val="nil"/>
              <w:right w:val="nil"/>
            </w:tcBorders>
            <w:shd w:val="clear" w:color="auto" w:fill="auto"/>
            <w:noWrap/>
            <w:vAlign w:val="center"/>
            <w:hideMark/>
          </w:tcPr>
          <w:p w14:paraId="11BF070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(0.43)</w:t>
            </w:r>
          </w:p>
        </w:tc>
        <w:tc>
          <w:tcPr>
            <w:tcW w:w="647" w:type="pct"/>
            <w:tcBorders>
              <w:top w:val="nil"/>
              <w:left w:val="nil"/>
              <w:bottom w:val="nil"/>
              <w:right w:val="nil"/>
            </w:tcBorders>
            <w:shd w:val="clear" w:color="auto" w:fill="auto"/>
            <w:noWrap/>
            <w:vAlign w:val="center"/>
            <w:hideMark/>
          </w:tcPr>
          <w:p w14:paraId="687DFCD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4458FD9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(0.03)</w:t>
            </w:r>
          </w:p>
        </w:tc>
        <w:tc>
          <w:tcPr>
            <w:tcW w:w="556" w:type="pct"/>
            <w:tcBorders>
              <w:top w:val="nil"/>
              <w:left w:val="nil"/>
              <w:bottom w:val="nil"/>
              <w:right w:val="nil"/>
            </w:tcBorders>
            <w:shd w:val="clear" w:color="auto" w:fill="auto"/>
            <w:noWrap/>
            <w:vAlign w:val="center"/>
            <w:hideMark/>
          </w:tcPr>
          <w:p w14:paraId="2505B35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(0.45)</w:t>
            </w:r>
          </w:p>
        </w:tc>
        <w:tc>
          <w:tcPr>
            <w:tcW w:w="340" w:type="pct"/>
            <w:tcBorders>
              <w:top w:val="nil"/>
              <w:left w:val="nil"/>
              <w:bottom w:val="nil"/>
              <w:right w:val="nil"/>
            </w:tcBorders>
            <w:shd w:val="clear" w:color="auto" w:fill="auto"/>
            <w:noWrap/>
            <w:vAlign w:val="center"/>
            <w:hideMark/>
          </w:tcPr>
          <w:p w14:paraId="66BE0BDC"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39613AA5" w14:textId="77777777" w:rsidTr="00EE68F9">
        <w:trPr>
          <w:trHeight w:val="300"/>
        </w:trPr>
        <w:tc>
          <w:tcPr>
            <w:tcW w:w="922" w:type="pct"/>
            <w:tcBorders>
              <w:top w:val="nil"/>
              <w:left w:val="nil"/>
              <w:bottom w:val="nil"/>
              <w:right w:val="nil"/>
            </w:tcBorders>
            <w:shd w:val="clear" w:color="auto" w:fill="auto"/>
            <w:noWrap/>
            <w:vAlign w:val="center"/>
            <w:hideMark/>
          </w:tcPr>
          <w:p w14:paraId="7AC2459D"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638" w:type="pct"/>
            <w:tcBorders>
              <w:top w:val="nil"/>
              <w:left w:val="nil"/>
              <w:bottom w:val="nil"/>
              <w:right w:val="nil"/>
            </w:tcBorders>
            <w:shd w:val="clear" w:color="auto" w:fill="auto"/>
            <w:noWrap/>
            <w:vAlign w:val="center"/>
            <w:hideMark/>
          </w:tcPr>
          <w:p w14:paraId="09F59A4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12893.93*</w:t>
            </w:r>
          </w:p>
        </w:tc>
        <w:tc>
          <w:tcPr>
            <w:tcW w:w="586" w:type="pct"/>
            <w:tcBorders>
              <w:top w:val="nil"/>
              <w:left w:val="nil"/>
              <w:bottom w:val="nil"/>
              <w:right w:val="nil"/>
            </w:tcBorders>
            <w:shd w:val="clear" w:color="auto" w:fill="auto"/>
            <w:noWrap/>
            <w:vAlign w:val="center"/>
            <w:hideMark/>
          </w:tcPr>
          <w:p w14:paraId="2E2BCA7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-12.17*</w:t>
            </w:r>
          </w:p>
        </w:tc>
        <w:tc>
          <w:tcPr>
            <w:tcW w:w="583" w:type="pct"/>
            <w:tcBorders>
              <w:top w:val="nil"/>
              <w:left w:val="nil"/>
              <w:bottom w:val="nil"/>
              <w:right w:val="nil"/>
            </w:tcBorders>
            <w:shd w:val="clear" w:color="auto" w:fill="auto"/>
            <w:noWrap/>
            <w:vAlign w:val="center"/>
            <w:hideMark/>
          </w:tcPr>
          <w:p w14:paraId="6104088E"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72C9260B"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29C57AD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-12.35*</w:t>
            </w:r>
          </w:p>
        </w:tc>
        <w:tc>
          <w:tcPr>
            <w:tcW w:w="556" w:type="pct"/>
            <w:tcBorders>
              <w:top w:val="nil"/>
              <w:left w:val="nil"/>
              <w:bottom w:val="nil"/>
              <w:right w:val="nil"/>
            </w:tcBorders>
            <w:shd w:val="clear" w:color="auto" w:fill="auto"/>
            <w:noWrap/>
            <w:vAlign w:val="center"/>
            <w:hideMark/>
          </w:tcPr>
          <w:p w14:paraId="18076EB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-16.84</w:t>
            </w:r>
          </w:p>
        </w:tc>
        <w:tc>
          <w:tcPr>
            <w:tcW w:w="340" w:type="pct"/>
            <w:tcBorders>
              <w:top w:val="nil"/>
              <w:left w:val="nil"/>
              <w:bottom w:val="nil"/>
              <w:right w:val="nil"/>
            </w:tcBorders>
            <w:shd w:val="clear" w:color="auto" w:fill="auto"/>
            <w:noWrap/>
            <w:vAlign w:val="center"/>
            <w:hideMark/>
          </w:tcPr>
          <w:p w14:paraId="702E402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0.76</w:t>
            </w:r>
          </w:p>
        </w:tc>
      </w:tr>
      <w:tr w:rsidR="00E37084" w:rsidRPr="00E37084" w14:paraId="7760D2BF" w14:textId="77777777" w:rsidTr="00EE68F9">
        <w:trPr>
          <w:trHeight w:val="300"/>
        </w:trPr>
        <w:tc>
          <w:tcPr>
            <w:tcW w:w="922" w:type="pct"/>
            <w:tcBorders>
              <w:top w:val="nil"/>
              <w:left w:val="nil"/>
              <w:bottom w:val="nil"/>
              <w:right w:val="nil"/>
            </w:tcBorders>
            <w:shd w:val="clear" w:color="auto" w:fill="auto"/>
            <w:noWrap/>
            <w:vAlign w:val="center"/>
            <w:hideMark/>
          </w:tcPr>
          <w:p w14:paraId="6213914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23B81EC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6" w:type="pct"/>
            <w:tcBorders>
              <w:top w:val="nil"/>
              <w:left w:val="nil"/>
              <w:bottom w:val="nil"/>
              <w:right w:val="nil"/>
            </w:tcBorders>
            <w:shd w:val="clear" w:color="auto" w:fill="auto"/>
            <w:noWrap/>
            <w:vAlign w:val="center"/>
            <w:hideMark/>
          </w:tcPr>
          <w:p w14:paraId="698108D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83" w:type="pct"/>
            <w:tcBorders>
              <w:top w:val="nil"/>
              <w:left w:val="nil"/>
              <w:bottom w:val="nil"/>
              <w:right w:val="nil"/>
            </w:tcBorders>
            <w:shd w:val="clear" w:color="auto" w:fill="auto"/>
            <w:noWrap/>
            <w:vAlign w:val="center"/>
            <w:hideMark/>
          </w:tcPr>
          <w:p w14:paraId="163DE0F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5EEB9BDF"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0FC7B2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(0.03)</w:t>
            </w:r>
          </w:p>
        </w:tc>
        <w:tc>
          <w:tcPr>
            <w:tcW w:w="556" w:type="pct"/>
            <w:tcBorders>
              <w:top w:val="nil"/>
              <w:left w:val="nil"/>
              <w:bottom w:val="nil"/>
              <w:right w:val="nil"/>
            </w:tcBorders>
            <w:shd w:val="clear" w:color="auto" w:fill="auto"/>
            <w:noWrap/>
            <w:vAlign w:val="center"/>
            <w:hideMark/>
          </w:tcPr>
          <w:p w14:paraId="7B230E7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(0.93)</w:t>
            </w:r>
          </w:p>
        </w:tc>
        <w:tc>
          <w:tcPr>
            <w:tcW w:w="340" w:type="pct"/>
            <w:tcBorders>
              <w:top w:val="nil"/>
              <w:left w:val="nil"/>
              <w:bottom w:val="nil"/>
              <w:right w:val="nil"/>
            </w:tcBorders>
            <w:shd w:val="clear" w:color="auto" w:fill="auto"/>
            <w:noWrap/>
            <w:vAlign w:val="center"/>
            <w:hideMark/>
          </w:tcPr>
          <w:p w14:paraId="0AEE69E3"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67AFDEE9" w14:textId="77777777" w:rsidTr="00EE68F9">
        <w:trPr>
          <w:trHeight w:val="300"/>
        </w:trPr>
        <w:tc>
          <w:tcPr>
            <w:tcW w:w="922" w:type="pct"/>
            <w:tcBorders>
              <w:top w:val="nil"/>
              <w:left w:val="nil"/>
              <w:bottom w:val="nil"/>
              <w:right w:val="nil"/>
            </w:tcBorders>
            <w:shd w:val="clear" w:color="auto" w:fill="auto"/>
            <w:noWrap/>
            <w:vAlign w:val="center"/>
            <w:hideMark/>
          </w:tcPr>
          <w:p w14:paraId="5881ECCF"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638" w:type="pct"/>
            <w:tcBorders>
              <w:top w:val="nil"/>
              <w:left w:val="nil"/>
              <w:bottom w:val="nil"/>
              <w:right w:val="nil"/>
            </w:tcBorders>
            <w:shd w:val="clear" w:color="auto" w:fill="auto"/>
            <w:noWrap/>
            <w:vAlign w:val="center"/>
            <w:hideMark/>
          </w:tcPr>
          <w:p w14:paraId="0B66B21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-162.03</w:t>
            </w:r>
          </w:p>
        </w:tc>
        <w:tc>
          <w:tcPr>
            <w:tcW w:w="586" w:type="pct"/>
            <w:tcBorders>
              <w:top w:val="nil"/>
              <w:left w:val="nil"/>
              <w:bottom w:val="nil"/>
              <w:right w:val="nil"/>
            </w:tcBorders>
            <w:shd w:val="clear" w:color="auto" w:fill="auto"/>
            <w:noWrap/>
            <w:vAlign w:val="center"/>
            <w:hideMark/>
          </w:tcPr>
          <w:p w14:paraId="7DCBF87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-0.15</w:t>
            </w:r>
          </w:p>
        </w:tc>
        <w:tc>
          <w:tcPr>
            <w:tcW w:w="583" w:type="pct"/>
            <w:tcBorders>
              <w:top w:val="nil"/>
              <w:left w:val="nil"/>
              <w:bottom w:val="nil"/>
              <w:right w:val="nil"/>
            </w:tcBorders>
            <w:shd w:val="clear" w:color="auto" w:fill="auto"/>
            <w:noWrap/>
            <w:vAlign w:val="center"/>
            <w:hideMark/>
          </w:tcPr>
          <w:p w14:paraId="1508100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1.92</w:t>
            </w:r>
          </w:p>
        </w:tc>
        <w:tc>
          <w:tcPr>
            <w:tcW w:w="647" w:type="pct"/>
            <w:tcBorders>
              <w:top w:val="nil"/>
              <w:left w:val="nil"/>
              <w:bottom w:val="nil"/>
              <w:right w:val="nil"/>
            </w:tcBorders>
            <w:shd w:val="clear" w:color="auto" w:fill="auto"/>
            <w:noWrap/>
            <w:vAlign w:val="center"/>
            <w:hideMark/>
          </w:tcPr>
          <w:p w14:paraId="715C915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073FE56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-0.13</w:t>
            </w:r>
          </w:p>
        </w:tc>
        <w:tc>
          <w:tcPr>
            <w:tcW w:w="556" w:type="pct"/>
            <w:tcBorders>
              <w:top w:val="nil"/>
              <w:left w:val="nil"/>
              <w:bottom w:val="nil"/>
              <w:right w:val="nil"/>
            </w:tcBorders>
            <w:shd w:val="clear" w:color="auto" w:fill="auto"/>
            <w:noWrap/>
            <w:vAlign w:val="center"/>
            <w:hideMark/>
          </w:tcPr>
          <w:p w14:paraId="394FBE5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8.50</w:t>
            </w:r>
          </w:p>
        </w:tc>
        <w:tc>
          <w:tcPr>
            <w:tcW w:w="340" w:type="pct"/>
            <w:tcBorders>
              <w:top w:val="nil"/>
              <w:left w:val="nil"/>
              <w:bottom w:val="nil"/>
              <w:right w:val="nil"/>
            </w:tcBorders>
            <w:shd w:val="clear" w:color="auto" w:fill="auto"/>
            <w:noWrap/>
            <w:vAlign w:val="center"/>
            <w:hideMark/>
          </w:tcPr>
          <w:p w14:paraId="4345CBF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0.81</w:t>
            </w:r>
          </w:p>
        </w:tc>
      </w:tr>
      <w:tr w:rsidR="00E37084" w:rsidRPr="00E37084" w14:paraId="5428C366" w14:textId="77777777" w:rsidTr="00EE68F9">
        <w:trPr>
          <w:trHeight w:val="300"/>
        </w:trPr>
        <w:tc>
          <w:tcPr>
            <w:tcW w:w="922" w:type="pct"/>
            <w:tcBorders>
              <w:top w:val="nil"/>
              <w:left w:val="nil"/>
              <w:bottom w:val="nil"/>
              <w:right w:val="nil"/>
            </w:tcBorders>
            <w:shd w:val="clear" w:color="auto" w:fill="auto"/>
            <w:noWrap/>
            <w:vAlign w:val="center"/>
            <w:hideMark/>
          </w:tcPr>
          <w:p w14:paraId="61077259"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75BABB2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(0.41)</w:t>
            </w:r>
          </w:p>
        </w:tc>
        <w:tc>
          <w:tcPr>
            <w:tcW w:w="586" w:type="pct"/>
            <w:tcBorders>
              <w:top w:val="nil"/>
              <w:left w:val="nil"/>
              <w:bottom w:val="nil"/>
              <w:right w:val="nil"/>
            </w:tcBorders>
            <w:shd w:val="clear" w:color="auto" w:fill="auto"/>
            <w:noWrap/>
            <w:vAlign w:val="center"/>
            <w:hideMark/>
          </w:tcPr>
          <w:p w14:paraId="17AA22C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(0.14)</w:t>
            </w:r>
          </w:p>
        </w:tc>
        <w:tc>
          <w:tcPr>
            <w:tcW w:w="583" w:type="pct"/>
            <w:tcBorders>
              <w:top w:val="nil"/>
              <w:left w:val="nil"/>
              <w:bottom w:val="nil"/>
              <w:right w:val="nil"/>
            </w:tcBorders>
            <w:shd w:val="clear" w:color="auto" w:fill="auto"/>
            <w:noWrap/>
            <w:vAlign w:val="center"/>
            <w:hideMark/>
          </w:tcPr>
          <w:p w14:paraId="7504157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(0.28)</w:t>
            </w:r>
          </w:p>
        </w:tc>
        <w:tc>
          <w:tcPr>
            <w:tcW w:w="647" w:type="pct"/>
            <w:tcBorders>
              <w:top w:val="nil"/>
              <w:left w:val="nil"/>
              <w:bottom w:val="nil"/>
              <w:right w:val="nil"/>
            </w:tcBorders>
            <w:shd w:val="clear" w:color="auto" w:fill="auto"/>
            <w:noWrap/>
            <w:vAlign w:val="center"/>
            <w:hideMark/>
          </w:tcPr>
          <w:p w14:paraId="38B8376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0E32DEE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(0.29)</w:t>
            </w:r>
          </w:p>
        </w:tc>
        <w:tc>
          <w:tcPr>
            <w:tcW w:w="556" w:type="pct"/>
            <w:tcBorders>
              <w:top w:val="nil"/>
              <w:left w:val="nil"/>
              <w:bottom w:val="nil"/>
              <w:right w:val="nil"/>
            </w:tcBorders>
            <w:shd w:val="clear" w:color="auto" w:fill="auto"/>
            <w:noWrap/>
            <w:vAlign w:val="center"/>
            <w:hideMark/>
          </w:tcPr>
          <w:p w14:paraId="509E5EB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(0.18)</w:t>
            </w:r>
          </w:p>
        </w:tc>
        <w:tc>
          <w:tcPr>
            <w:tcW w:w="340" w:type="pct"/>
            <w:tcBorders>
              <w:top w:val="nil"/>
              <w:left w:val="nil"/>
              <w:bottom w:val="nil"/>
              <w:right w:val="nil"/>
            </w:tcBorders>
            <w:shd w:val="clear" w:color="auto" w:fill="auto"/>
            <w:noWrap/>
            <w:vAlign w:val="center"/>
            <w:hideMark/>
          </w:tcPr>
          <w:p w14:paraId="66A49D05"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C82603E" w14:textId="77777777" w:rsidTr="00EE68F9">
        <w:trPr>
          <w:trHeight w:val="300"/>
        </w:trPr>
        <w:tc>
          <w:tcPr>
            <w:tcW w:w="922" w:type="pct"/>
            <w:tcBorders>
              <w:top w:val="nil"/>
              <w:left w:val="nil"/>
              <w:bottom w:val="nil"/>
              <w:right w:val="nil"/>
            </w:tcBorders>
            <w:shd w:val="clear" w:color="auto" w:fill="auto"/>
            <w:noWrap/>
            <w:vAlign w:val="center"/>
            <w:hideMark/>
          </w:tcPr>
          <w:p w14:paraId="3ADD0030"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638" w:type="pct"/>
            <w:tcBorders>
              <w:top w:val="nil"/>
              <w:left w:val="nil"/>
              <w:bottom w:val="nil"/>
              <w:right w:val="nil"/>
            </w:tcBorders>
            <w:shd w:val="clear" w:color="auto" w:fill="auto"/>
            <w:noWrap/>
            <w:vAlign w:val="center"/>
            <w:hideMark/>
          </w:tcPr>
          <w:p w14:paraId="4B5D0D0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34568.21*</w:t>
            </w:r>
          </w:p>
        </w:tc>
        <w:tc>
          <w:tcPr>
            <w:tcW w:w="586" w:type="pct"/>
            <w:tcBorders>
              <w:top w:val="nil"/>
              <w:left w:val="nil"/>
              <w:bottom w:val="nil"/>
              <w:right w:val="nil"/>
            </w:tcBorders>
            <w:shd w:val="clear" w:color="auto" w:fill="auto"/>
            <w:noWrap/>
            <w:vAlign w:val="center"/>
            <w:hideMark/>
          </w:tcPr>
          <w:p w14:paraId="4BC8917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-33.09*</w:t>
            </w:r>
          </w:p>
        </w:tc>
        <w:tc>
          <w:tcPr>
            <w:tcW w:w="583" w:type="pct"/>
            <w:tcBorders>
              <w:top w:val="nil"/>
              <w:left w:val="nil"/>
              <w:bottom w:val="nil"/>
              <w:right w:val="nil"/>
            </w:tcBorders>
            <w:shd w:val="clear" w:color="auto" w:fill="auto"/>
            <w:noWrap/>
            <w:vAlign w:val="center"/>
            <w:hideMark/>
          </w:tcPr>
          <w:p w14:paraId="6882561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14.30</w:t>
            </w:r>
          </w:p>
        </w:tc>
        <w:tc>
          <w:tcPr>
            <w:tcW w:w="647" w:type="pct"/>
            <w:tcBorders>
              <w:top w:val="nil"/>
              <w:left w:val="nil"/>
              <w:bottom w:val="nil"/>
              <w:right w:val="nil"/>
            </w:tcBorders>
            <w:shd w:val="clear" w:color="auto" w:fill="auto"/>
            <w:noWrap/>
            <w:vAlign w:val="center"/>
            <w:hideMark/>
          </w:tcPr>
          <w:p w14:paraId="6B2E20A6"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63A76E2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-31.76*</w:t>
            </w:r>
          </w:p>
        </w:tc>
        <w:tc>
          <w:tcPr>
            <w:tcW w:w="556" w:type="pct"/>
            <w:tcBorders>
              <w:top w:val="nil"/>
              <w:left w:val="nil"/>
              <w:bottom w:val="nil"/>
              <w:right w:val="nil"/>
            </w:tcBorders>
            <w:shd w:val="clear" w:color="auto" w:fill="auto"/>
            <w:noWrap/>
            <w:vAlign w:val="center"/>
            <w:hideMark/>
          </w:tcPr>
          <w:p w14:paraId="29398CB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-875.77</w:t>
            </w:r>
          </w:p>
        </w:tc>
        <w:tc>
          <w:tcPr>
            <w:tcW w:w="340" w:type="pct"/>
            <w:tcBorders>
              <w:top w:val="nil"/>
              <w:left w:val="nil"/>
              <w:bottom w:val="nil"/>
              <w:right w:val="nil"/>
            </w:tcBorders>
            <w:shd w:val="clear" w:color="auto" w:fill="auto"/>
            <w:noWrap/>
            <w:vAlign w:val="center"/>
            <w:hideMark/>
          </w:tcPr>
          <w:p w14:paraId="1FD8D57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0.85</w:t>
            </w:r>
          </w:p>
        </w:tc>
      </w:tr>
      <w:tr w:rsidR="00E37084" w:rsidRPr="00E37084" w14:paraId="34218228" w14:textId="77777777" w:rsidTr="00EE68F9">
        <w:trPr>
          <w:trHeight w:val="300"/>
        </w:trPr>
        <w:tc>
          <w:tcPr>
            <w:tcW w:w="922" w:type="pct"/>
            <w:tcBorders>
              <w:top w:val="nil"/>
              <w:left w:val="nil"/>
              <w:bottom w:val="nil"/>
              <w:right w:val="nil"/>
            </w:tcBorders>
            <w:shd w:val="clear" w:color="auto" w:fill="auto"/>
            <w:noWrap/>
            <w:vAlign w:val="center"/>
            <w:hideMark/>
          </w:tcPr>
          <w:p w14:paraId="10B309D6"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3F8D0C0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6" w:type="pct"/>
            <w:tcBorders>
              <w:top w:val="nil"/>
              <w:left w:val="nil"/>
              <w:bottom w:val="nil"/>
              <w:right w:val="nil"/>
            </w:tcBorders>
            <w:shd w:val="clear" w:color="auto" w:fill="auto"/>
            <w:noWrap/>
            <w:vAlign w:val="center"/>
            <w:hideMark/>
          </w:tcPr>
          <w:p w14:paraId="2112D4E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3" w:type="pct"/>
            <w:tcBorders>
              <w:top w:val="nil"/>
              <w:left w:val="nil"/>
              <w:bottom w:val="nil"/>
              <w:right w:val="nil"/>
            </w:tcBorders>
            <w:shd w:val="clear" w:color="auto" w:fill="auto"/>
            <w:noWrap/>
            <w:vAlign w:val="center"/>
            <w:hideMark/>
          </w:tcPr>
          <w:p w14:paraId="6A7ED83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(0.84)</w:t>
            </w:r>
          </w:p>
        </w:tc>
        <w:tc>
          <w:tcPr>
            <w:tcW w:w="647" w:type="pct"/>
            <w:tcBorders>
              <w:top w:val="nil"/>
              <w:left w:val="nil"/>
              <w:bottom w:val="nil"/>
              <w:right w:val="nil"/>
            </w:tcBorders>
            <w:shd w:val="clear" w:color="auto" w:fill="auto"/>
            <w:noWrap/>
            <w:vAlign w:val="center"/>
            <w:hideMark/>
          </w:tcPr>
          <w:p w14:paraId="1F39B39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03AA5F4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56" w:type="pct"/>
            <w:tcBorders>
              <w:top w:val="nil"/>
              <w:left w:val="nil"/>
              <w:bottom w:val="nil"/>
              <w:right w:val="nil"/>
            </w:tcBorders>
            <w:shd w:val="clear" w:color="auto" w:fill="auto"/>
            <w:noWrap/>
            <w:vAlign w:val="center"/>
            <w:hideMark/>
          </w:tcPr>
          <w:p w14:paraId="3A15D09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(0.14)</w:t>
            </w:r>
          </w:p>
        </w:tc>
        <w:tc>
          <w:tcPr>
            <w:tcW w:w="340" w:type="pct"/>
            <w:tcBorders>
              <w:top w:val="nil"/>
              <w:left w:val="nil"/>
              <w:bottom w:val="nil"/>
              <w:right w:val="nil"/>
            </w:tcBorders>
            <w:shd w:val="clear" w:color="auto" w:fill="auto"/>
            <w:noWrap/>
            <w:vAlign w:val="center"/>
            <w:hideMark/>
          </w:tcPr>
          <w:p w14:paraId="71F08B6B"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FD2449A" w14:textId="77777777" w:rsidTr="00EE68F9">
        <w:trPr>
          <w:trHeight w:val="300"/>
        </w:trPr>
        <w:tc>
          <w:tcPr>
            <w:tcW w:w="922" w:type="pct"/>
            <w:tcBorders>
              <w:top w:val="nil"/>
              <w:left w:val="nil"/>
              <w:bottom w:val="nil"/>
              <w:right w:val="nil"/>
            </w:tcBorders>
            <w:shd w:val="clear" w:color="auto" w:fill="auto"/>
            <w:noWrap/>
            <w:vAlign w:val="center"/>
            <w:hideMark/>
          </w:tcPr>
          <w:p w14:paraId="048AFCC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638" w:type="pct"/>
            <w:tcBorders>
              <w:top w:val="nil"/>
              <w:left w:val="nil"/>
              <w:bottom w:val="nil"/>
              <w:right w:val="nil"/>
            </w:tcBorders>
            <w:shd w:val="clear" w:color="auto" w:fill="auto"/>
            <w:noWrap/>
            <w:vAlign w:val="center"/>
            <w:hideMark/>
          </w:tcPr>
          <w:p w14:paraId="6310BD6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3350.22</w:t>
            </w:r>
          </w:p>
        </w:tc>
        <w:tc>
          <w:tcPr>
            <w:tcW w:w="586" w:type="pct"/>
            <w:tcBorders>
              <w:top w:val="nil"/>
              <w:left w:val="nil"/>
              <w:bottom w:val="nil"/>
              <w:right w:val="nil"/>
            </w:tcBorders>
            <w:shd w:val="clear" w:color="auto" w:fill="auto"/>
            <w:noWrap/>
            <w:vAlign w:val="center"/>
            <w:hideMark/>
          </w:tcPr>
          <w:p w14:paraId="143FFBF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-17.47</w:t>
            </w:r>
          </w:p>
        </w:tc>
        <w:tc>
          <w:tcPr>
            <w:tcW w:w="583" w:type="pct"/>
            <w:tcBorders>
              <w:top w:val="nil"/>
              <w:left w:val="nil"/>
              <w:bottom w:val="nil"/>
              <w:right w:val="nil"/>
            </w:tcBorders>
            <w:shd w:val="clear" w:color="auto" w:fill="auto"/>
            <w:noWrap/>
            <w:vAlign w:val="center"/>
            <w:hideMark/>
          </w:tcPr>
          <w:p w14:paraId="75B1950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52.29</w:t>
            </w:r>
          </w:p>
        </w:tc>
        <w:tc>
          <w:tcPr>
            <w:tcW w:w="647" w:type="pct"/>
            <w:tcBorders>
              <w:top w:val="nil"/>
              <w:left w:val="nil"/>
              <w:bottom w:val="nil"/>
              <w:right w:val="nil"/>
            </w:tcBorders>
            <w:shd w:val="clear" w:color="auto" w:fill="auto"/>
            <w:noWrap/>
            <w:vAlign w:val="center"/>
            <w:hideMark/>
          </w:tcPr>
          <w:p w14:paraId="38B03CFD"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5C2075F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-10.45*</w:t>
            </w:r>
          </w:p>
        </w:tc>
        <w:tc>
          <w:tcPr>
            <w:tcW w:w="556" w:type="pct"/>
            <w:tcBorders>
              <w:top w:val="nil"/>
              <w:left w:val="nil"/>
              <w:bottom w:val="nil"/>
              <w:right w:val="nil"/>
            </w:tcBorders>
            <w:shd w:val="clear" w:color="auto" w:fill="auto"/>
            <w:noWrap/>
            <w:vAlign w:val="center"/>
            <w:hideMark/>
          </w:tcPr>
          <w:p w14:paraId="645AB6E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-381.7*</w:t>
            </w:r>
          </w:p>
        </w:tc>
        <w:tc>
          <w:tcPr>
            <w:tcW w:w="340" w:type="pct"/>
            <w:tcBorders>
              <w:top w:val="nil"/>
              <w:left w:val="nil"/>
              <w:bottom w:val="nil"/>
              <w:right w:val="nil"/>
            </w:tcBorders>
            <w:shd w:val="clear" w:color="auto" w:fill="auto"/>
            <w:noWrap/>
            <w:vAlign w:val="center"/>
            <w:hideMark/>
          </w:tcPr>
          <w:p w14:paraId="0727E03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0.75</w:t>
            </w:r>
          </w:p>
        </w:tc>
      </w:tr>
      <w:tr w:rsidR="00E37084" w:rsidRPr="00E37084" w14:paraId="2D967583" w14:textId="77777777" w:rsidTr="00EE68F9">
        <w:trPr>
          <w:trHeight w:val="300"/>
        </w:trPr>
        <w:tc>
          <w:tcPr>
            <w:tcW w:w="922" w:type="pct"/>
            <w:tcBorders>
              <w:top w:val="nil"/>
              <w:left w:val="nil"/>
              <w:bottom w:val="single" w:sz="4" w:space="0" w:color="auto"/>
              <w:right w:val="nil"/>
            </w:tcBorders>
            <w:shd w:val="clear" w:color="auto" w:fill="auto"/>
            <w:noWrap/>
            <w:vAlign w:val="center"/>
            <w:hideMark/>
          </w:tcPr>
          <w:p w14:paraId="609E8383"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638" w:type="pct"/>
            <w:tcBorders>
              <w:top w:val="nil"/>
              <w:left w:val="nil"/>
              <w:bottom w:val="single" w:sz="4" w:space="0" w:color="auto"/>
              <w:right w:val="nil"/>
            </w:tcBorders>
            <w:shd w:val="clear" w:color="auto" w:fill="auto"/>
            <w:noWrap/>
            <w:vAlign w:val="center"/>
            <w:hideMark/>
          </w:tcPr>
          <w:p w14:paraId="3C2821F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(0.59)</w:t>
            </w:r>
          </w:p>
        </w:tc>
        <w:tc>
          <w:tcPr>
            <w:tcW w:w="586" w:type="pct"/>
            <w:tcBorders>
              <w:top w:val="nil"/>
              <w:left w:val="nil"/>
              <w:bottom w:val="single" w:sz="4" w:space="0" w:color="auto"/>
              <w:right w:val="nil"/>
            </w:tcBorders>
            <w:shd w:val="clear" w:color="auto" w:fill="auto"/>
            <w:noWrap/>
            <w:vAlign w:val="center"/>
            <w:hideMark/>
          </w:tcPr>
          <w:p w14:paraId="6AAADCD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(0.09)</w:t>
            </w:r>
          </w:p>
        </w:tc>
        <w:tc>
          <w:tcPr>
            <w:tcW w:w="583" w:type="pct"/>
            <w:tcBorders>
              <w:top w:val="nil"/>
              <w:left w:val="nil"/>
              <w:bottom w:val="single" w:sz="4" w:space="0" w:color="auto"/>
              <w:right w:val="nil"/>
            </w:tcBorders>
            <w:shd w:val="clear" w:color="auto" w:fill="auto"/>
            <w:noWrap/>
            <w:vAlign w:val="center"/>
            <w:hideMark/>
          </w:tcPr>
          <w:p w14:paraId="37E7DA9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(0.28)</w:t>
            </w:r>
          </w:p>
        </w:tc>
        <w:tc>
          <w:tcPr>
            <w:tcW w:w="647" w:type="pct"/>
            <w:tcBorders>
              <w:top w:val="nil"/>
              <w:left w:val="nil"/>
              <w:bottom w:val="single" w:sz="4" w:space="0" w:color="auto"/>
              <w:right w:val="nil"/>
            </w:tcBorders>
            <w:shd w:val="clear" w:color="auto" w:fill="auto"/>
            <w:noWrap/>
            <w:vAlign w:val="center"/>
            <w:hideMark/>
          </w:tcPr>
          <w:p w14:paraId="54BA61B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27" w:type="pct"/>
            <w:tcBorders>
              <w:top w:val="nil"/>
              <w:left w:val="nil"/>
              <w:bottom w:val="single" w:sz="4" w:space="0" w:color="auto"/>
              <w:right w:val="nil"/>
            </w:tcBorders>
            <w:shd w:val="clear" w:color="auto" w:fill="auto"/>
            <w:noWrap/>
            <w:vAlign w:val="center"/>
            <w:hideMark/>
          </w:tcPr>
          <w:p w14:paraId="0D43C1E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56" w:type="pct"/>
            <w:tcBorders>
              <w:top w:val="nil"/>
              <w:left w:val="nil"/>
              <w:bottom w:val="single" w:sz="4" w:space="0" w:color="auto"/>
              <w:right w:val="nil"/>
            </w:tcBorders>
            <w:shd w:val="clear" w:color="auto" w:fill="auto"/>
            <w:noWrap/>
            <w:vAlign w:val="center"/>
            <w:hideMark/>
          </w:tcPr>
          <w:p w14:paraId="7B71E67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340" w:type="pct"/>
            <w:tcBorders>
              <w:top w:val="nil"/>
              <w:left w:val="nil"/>
              <w:bottom w:val="single" w:sz="4" w:space="0" w:color="auto"/>
              <w:right w:val="nil"/>
            </w:tcBorders>
            <w:shd w:val="clear" w:color="auto" w:fill="auto"/>
            <w:noWrap/>
            <w:vAlign w:val="center"/>
            <w:hideMark/>
          </w:tcPr>
          <w:p w14:paraId="5BA394F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05C7ADD7" w14:textId="1A18E907" w:rsidR="006574BC" w:rsidRDefault="00EE68F9" w:rsidP="00777422">
      <w:pPr>
        <w:pStyle w:val="Notesourcetext"/>
      </w:pPr>
      <w:r>
        <w:t>Note: * denotes significance at the 95% level</w:t>
      </w:r>
    </w:p>
    <w:p w14:paraId="5864CA6D" w14:textId="77777777" w:rsidR="006574BC" w:rsidRPr="006574BC" w:rsidRDefault="006574BC" w:rsidP="006574BC"/>
    <w:p w14:paraId="2DB68FB7" w14:textId="77777777" w:rsidR="00670D13" w:rsidRDefault="00670D13" w:rsidP="00670D13">
      <w:pPr>
        <w:pStyle w:val="Caption"/>
      </w:pPr>
      <w:bookmarkStart w:id="53" w:name="_Toc491356914"/>
      <w:bookmarkStart w:id="54" w:name="_Toc505345892"/>
      <w:r>
        <w:t xml:space="preserve">Table </w:t>
      </w:r>
      <w:r w:rsidR="00915ABD">
        <w:fldChar w:fldCharType="begin"/>
      </w:r>
      <w:r>
        <w:instrText xml:space="preserve"> SEQ Table \* ARABIC </w:instrText>
      </w:r>
      <w:r w:rsidR="00915ABD">
        <w:fldChar w:fldCharType="separate"/>
      </w:r>
      <w:r w:rsidR="00F709AB">
        <w:rPr>
          <w:noProof/>
        </w:rPr>
        <w:t>9</w:t>
      </w:r>
      <w:r w:rsidR="00915ABD">
        <w:fldChar w:fldCharType="end"/>
      </w:r>
      <w:r w:rsidR="006E24BC">
        <w:t xml:space="preserve"> Regression</w:t>
      </w:r>
      <w:r>
        <w:t xml:space="preserve"> results for land use by irrigation activity, VIC Murray (above the Barmah Choke)</w:t>
      </w:r>
      <w:bookmarkEnd w:id="53"/>
      <w:bookmarkEnd w:id="54"/>
    </w:p>
    <w:tbl>
      <w:tblPr>
        <w:tblW w:w="5000" w:type="pct"/>
        <w:tblLook w:val="04A0" w:firstRow="1" w:lastRow="0" w:firstColumn="1" w:lastColumn="0" w:noHBand="0" w:noVBand="1"/>
      </w:tblPr>
      <w:tblGrid>
        <w:gridCol w:w="1693"/>
        <w:gridCol w:w="1081"/>
        <w:gridCol w:w="1072"/>
        <w:gridCol w:w="1067"/>
        <w:gridCol w:w="1186"/>
        <w:gridCol w:w="1331"/>
        <w:gridCol w:w="1018"/>
        <w:gridCol w:w="622"/>
      </w:tblGrid>
      <w:tr w:rsidR="00E37084" w:rsidRPr="00E37084" w14:paraId="2E8F7BB2" w14:textId="77777777" w:rsidTr="00EE68F9">
        <w:trPr>
          <w:trHeight w:val="510"/>
        </w:trPr>
        <w:tc>
          <w:tcPr>
            <w:tcW w:w="933" w:type="pct"/>
            <w:tcBorders>
              <w:top w:val="single" w:sz="4" w:space="0" w:color="auto"/>
              <w:left w:val="nil"/>
              <w:bottom w:val="single" w:sz="4" w:space="0" w:color="auto"/>
              <w:right w:val="nil"/>
            </w:tcBorders>
            <w:shd w:val="clear" w:color="auto" w:fill="auto"/>
            <w:noWrap/>
            <w:vAlign w:val="center"/>
            <w:hideMark/>
          </w:tcPr>
          <w:p w14:paraId="2D2DBB47"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596" w:type="pct"/>
            <w:tcBorders>
              <w:top w:val="single" w:sz="4" w:space="0" w:color="auto"/>
              <w:left w:val="nil"/>
              <w:bottom w:val="single" w:sz="4" w:space="0" w:color="auto"/>
              <w:right w:val="nil"/>
            </w:tcBorders>
            <w:shd w:val="clear" w:color="auto" w:fill="auto"/>
            <w:noWrap/>
            <w:vAlign w:val="center"/>
            <w:hideMark/>
          </w:tcPr>
          <w:p w14:paraId="4E76552E"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91" w:type="pct"/>
            <w:tcBorders>
              <w:top w:val="single" w:sz="4" w:space="0" w:color="auto"/>
              <w:left w:val="nil"/>
              <w:bottom w:val="single" w:sz="4" w:space="0" w:color="auto"/>
              <w:right w:val="nil"/>
            </w:tcBorders>
            <w:shd w:val="clear" w:color="auto" w:fill="auto"/>
            <w:noWrap/>
            <w:vAlign w:val="center"/>
            <w:hideMark/>
          </w:tcPr>
          <w:p w14:paraId="2CAE9D01"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588" w:type="pct"/>
            <w:tcBorders>
              <w:top w:val="single" w:sz="4" w:space="0" w:color="auto"/>
              <w:left w:val="nil"/>
              <w:bottom w:val="single" w:sz="4" w:space="0" w:color="auto"/>
              <w:right w:val="nil"/>
            </w:tcBorders>
            <w:shd w:val="clear" w:color="auto" w:fill="auto"/>
            <w:vAlign w:val="center"/>
            <w:hideMark/>
          </w:tcPr>
          <w:p w14:paraId="41C9FA4B"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Output </w:t>
            </w:r>
            <w:r w:rsidRPr="00E37084">
              <w:rPr>
                <w:rFonts w:eastAsia="Times New Roman"/>
                <w:b/>
                <w:bCs/>
                <w:color w:val="000000"/>
                <w:sz w:val="19"/>
                <w:szCs w:val="19"/>
                <w:lang w:eastAsia="en-AU"/>
              </w:rPr>
              <w:br/>
              <w:t>price (Y)</w:t>
            </w:r>
          </w:p>
        </w:tc>
        <w:tc>
          <w:tcPr>
            <w:tcW w:w="654" w:type="pct"/>
            <w:tcBorders>
              <w:top w:val="single" w:sz="4" w:space="0" w:color="auto"/>
              <w:left w:val="nil"/>
              <w:bottom w:val="single" w:sz="4" w:space="0" w:color="auto"/>
              <w:right w:val="nil"/>
            </w:tcBorders>
            <w:shd w:val="clear" w:color="auto" w:fill="auto"/>
            <w:vAlign w:val="center"/>
            <w:hideMark/>
          </w:tcPr>
          <w:p w14:paraId="7C93DB4C"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r w:rsidRPr="00E37084">
              <w:rPr>
                <w:rFonts w:eastAsia="Times New Roman"/>
                <w:b/>
                <w:bCs/>
                <w:color w:val="000000"/>
                <w:sz w:val="19"/>
                <w:szCs w:val="19"/>
                <w:lang w:eastAsia="en-AU"/>
              </w:rPr>
              <w:br/>
              <w:t>price (CY)</w:t>
            </w:r>
          </w:p>
        </w:tc>
        <w:tc>
          <w:tcPr>
            <w:tcW w:w="734" w:type="pct"/>
            <w:tcBorders>
              <w:top w:val="single" w:sz="4" w:space="0" w:color="auto"/>
              <w:left w:val="nil"/>
              <w:bottom w:val="single" w:sz="4" w:space="0" w:color="auto"/>
              <w:right w:val="nil"/>
            </w:tcBorders>
            <w:shd w:val="clear" w:color="auto" w:fill="auto"/>
            <w:noWrap/>
            <w:vAlign w:val="center"/>
            <w:hideMark/>
          </w:tcPr>
          <w:p w14:paraId="4F50DA76"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61" w:type="pct"/>
            <w:tcBorders>
              <w:top w:val="single" w:sz="4" w:space="0" w:color="auto"/>
              <w:left w:val="nil"/>
              <w:bottom w:val="single" w:sz="4" w:space="0" w:color="auto"/>
              <w:right w:val="nil"/>
            </w:tcBorders>
            <w:shd w:val="clear" w:color="auto" w:fill="auto"/>
            <w:noWrap/>
            <w:vAlign w:val="center"/>
            <w:hideMark/>
          </w:tcPr>
          <w:p w14:paraId="6BD9B16A"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43" w:type="pct"/>
            <w:tcBorders>
              <w:top w:val="single" w:sz="4" w:space="0" w:color="auto"/>
              <w:left w:val="nil"/>
              <w:bottom w:val="single" w:sz="4" w:space="0" w:color="auto"/>
              <w:right w:val="nil"/>
            </w:tcBorders>
            <w:shd w:val="clear" w:color="auto" w:fill="auto"/>
            <w:noWrap/>
            <w:vAlign w:val="center"/>
            <w:hideMark/>
          </w:tcPr>
          <w:p w14:paraId="19781377"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4292AF24" w14:textId="77777777" w:rsidTr="00EE68F9">
        <w:trPr>
          <w:trHeight w:val="300"/>
        </w:trPr>
        <w:tc>
          <w:tcPr>
            <w:tcW w:w="933" w:type="pct"/>
            <w:tcBorders>
              <w:top w:val="nil"/>
              <w:left w:val="nil"/>
              <w:bottom w:val="nil"/>
              <w:right w:val="nil"/>
            </w:tcBorders>
            <w:shd w:val="clear" w:color="auto" w:fill="auto"/>
            <w:noWrap/>
            <w:vAlign w:val="center"/>
            <w:hideMark/>
          </w:tcPr>
          <w:p w14:paraId="51892FBC"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596" w:type="pct"/>
            <w:tcBorders>
              <w:top w:val="nil"/>
              <w:left w:val="nil"/>
              <w:bottom w:val="nil"/>
              <w:right w:val="nil"/>
            </w:tcBorders>
            <w:shd w:val="clear" w:color="auto" w:fill="auto"/>
            <w:noWrap/>
            <w:vAlign w:val="center"/>
            <w:hideMark/>
          </w:tcPr>
          <w:p w14:paraId="16F9117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276.12*</w:t>
            </w:r>
          </w:p>
        </w:tc>
        <w:tc>
          <w:tcPr>
            <w:tcW w:w="591" w:type="pct"/>
            <w:tcBorders>
              <w:top w:val="nil"/>
              <w:left w:val="nil"/>
              <w:bottom w:val="nil"/>
              <w:right w:val="nil"/>
            </w:tcBorders>
            <w:shd w:val="clear" w:color="auto" w:fill="auto"/>
            <w:noWrap/>
            <w:vAlign w:val="center"/>
            <w:hideMark/>
          </w:tcPr>
          <w:p w14:paraId="6C20F29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-0.36*</w:t>
            </w:r>
          </w:p>
        </w:tc>
        <w:tc>
          <w:tcPr>
            <w:tcW w:w="588" w:type="pct"/>
            <w:tcBorders>
              <w:top w:val="nil"/>
              <w:left w:val="nil"/>
              <w:bottom w:val="nil"/>
              <w:right w:val="nil"/>
            </w:tcBorders>
            <w:shd w:val="clear" w:color="auto" w:fill="auto"/>
            <w:noWrap/>
            <w:vAlign w:val="center"/>
            <w:hideMark/>
          </w:tcPr>
          <w:p w14:paraId="4706EF8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701F1CAD"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749BF98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-0.11</w:t>
            </w:r>
          </w:p>
        </w:tc>
        <w:tc>
          <w:tcPr>
            <w:tcW w:w="561" w:type="pct"/>
            <w:tcBorders>
              <w:top w:val="nil"/>
              <w:left w:val="nil"/>
              <w:bottom w:val="nil"/>
              <w:right w:val="nil"/>
            </w:tcBorders>
            <w:shd w:val="clear" w:color="auto" w:fill="auto"/>
            <w:noWrap/>
            <w:vAlign w:val="center"/>
            <w:hideMark/>
          </w:tcPr>
          <w:p w14:paraId="1EBFAFF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-14.81*</w:t>
            </w:r>
          </w:p>
        </w:tc>
        <w:tc>
          <w:tcPr>
            <w:tcW w:w="343" w:type="pct"/>
            <w:tcBorders>
              <w:top w:val="nil"/>
              <w:left w:val="nil"/>
              <w:bottom w:val="nil"/>
              <w:right w:val="nil"/>
            </w:tcBorders>
            <w:shd w:val="clear" w:color="auto" w:fill="auto"/>
            <w:noWrap/>
            <w:vAlign w:val="center"/>
            <w:hideMark/>
          </w:tcPr>
          <w:p w14:paraId="3ACF6CE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0.77</w:t>
            </w:r>
          </w:p>
        </w:tc>
      </w:tr>
      <w:tr w:rsidR="00E37084" w:rsidRPr="00E37084" w14:paraId="70F30858" w14:textId="77777777" w:rsidTr="00EE68F9">
        <w:trPr>
          <w:trHeight w:val="300"/>
        </w:trPr>
        <w:tc>
          <w:tcPr>
            <w:tcW w:w="933" w:type="pct"/>
            <w:tcBorders>
              <w:top w:val="nil"/>
              <w:left w:val="nil"/>
              <w:bottom w:val="nil"/>
              <w:right w:val="nil"/>
            </w:tcBorders>
            <w:shd w:val="clear" w:color="auto" w:fill="auto"/>
            <w:noWrap/>
            <w:vAlign w:val="center"/>
            <w:hideMark/>
          </w:tcPr>
          <w:p w14:paraId="1055D94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6" w:type="pct"/>
            <w:tcBorders>
              <w:top w:val="nil"/>
              <w:left w:val="nil"/>
              <w:bottom w:val="nil"/>
              <w:right w:val="nil"/>
            </w:tcBorders>
            <w:shd w:val="clear" w:color="auto" w:fill="auto"/>
            <w:noWrap/>
            <w:vAlign w:val="center"/>
            <w:hideMark/>
          </w:tcPr>
          <w:p w14:paraId="487CA95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91" w:type="pct"/>
            <w:tcBorders>
              <w:top w:val="nil"/>
              <w:left w:val="nil"/>
              <w:bottom w:val="nil"/>
              <w:right w:val="nil"/>
            </w:tcBorders>
            <w:shd w:val="clear" w:color="auto" w:fill="auto"/>
            <w:noWrap/>
            <w:vAlign w:val="center"/>
            <w:hideMark/>
          </w:tcPr>
          <w:p w14:paraId="717A66A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8" w:type="pct"/>
            <w:tcBorders>
              <w:top w:val="nil"/>
              <w:left w:val="nil"/>
              <w:bottom w:val="nil"/>
              <w:right w:val="nil"/>
            </w:tcBorders>
            <w:shd w:val="clear" w:color="auto" w:fill="auto"/>
            <w:noWrap/>
            <w:vAlign w:val="center"/>
            <w:hideMark/>
          </w:tcPr>
          <w:p w14:paraId="7FC1A10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424CAEDD"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12DD3C3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(0.24)</w:t>
            </w:r>
          </w:p>
        </w:tc>
        <w:tc>
          <w:tcPr>
            <w:tcW w:w="561" w:type="pct"/>
            <w:tcBorders>
              <w:top w:val="nil"/>
              <w:left w:val="nil"/>
              <w:bottom w:val="nil"/>
              <w:right w:val="nil"/>
            </w:tcBorders>
            <w:shd w:val="clear" w:color="auto" w:fill="auto"/>
            <w:noWrap/>
            <w:vAlign w:val="center"/>
            <w:hideMark/>
          </w:tcPr>
          <w:p w14:paraId="4C5BBAF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343" w:type="pct"/>
            <w:tcBorders>
              <w:top w:val="nil"/>
              <w:left w:val="nil"/>
              <w:bottom w:val="nil"/>
              <w:right w:val="nil"/>
            </w:tcBorders>
            <w:shd w:val="clear" w:color="auto" w:fill="auto"/>
            <w:noWrap/>
            <w:vAlign w:val="center"/>
            <w:hideMark/>
          </w:tcPr>
          <w:p w14:paraId="76212771"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7CF85B7" w14:textId="77777777" w:rsidTr="00EE68F9">
        <w:trPr>
          <w:trHeight w:val="300"/>
        </w:trPr>
        <w:tc>
          <w:tcPr>
            <w:tcW w:w="933" w:type="pct"/>
            <w:tcBorders>
              <w:top w:val="nil"/>
              <w:left w:val="nil"/>
              <w:bottom w:val="nil"/>
              <w:right w:val="nil"/>
            </w:tcBorders>
            <w:shd w:val="clear" w:color="auto" w:fill="auto"/>
            <w:noWrap/>
            <w:vAlign w:val="center"/>
            <w:hideMark/>
          </w:tcPr>
          <w:p w14:paraId="36940032"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596" w:type="pct"/>
            <w:tcBorders>
              <w:top w:val="nil"/>
              <w:left w:val="nil"/>
              <w:bottom w:val="nil"/>
              <w:right w:val="nil"/>
            </w:tcBorders>
            <w:shd w:val="clear" w:color="auto" w:fill="auto"/>
            <w:noWrap/>
            <w:vAlign w:val="center"/>
            <w:hideMark/>
          </w:tcPr>
          <w:p w14:paraId="66D84B1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461.15*</w:t>
            </w:r>
          </w:p>
        </w:tc>
        <w:tc>
          <w:tcPr>
            <w:tcW w:w="591" w:type="pct"/>
            <w:tcBorders>
              <w:top w:val="nil"/>
              <w:left w:val="nil"/>
              <w:bottom w:val="nil"/>
              <w:right w:val="nil"/>
            </w:tcBorders>
            <w:shd w:val="clear" w:color="auto" w:fill="auto"/>
            <w:noWrap/>
            <w:vAlign w:val="center"/>
            <w:hideMark/>
          </w:tcPr>
          <w:p w14:paraId="12C6864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-0.13</w:t>
            </w:r>
          </w:p>
        </w:tc>
        <w:tc>
          <w:tcPr>
            <w:tcW w:w="588" w:type="pct"/>
            <w:tcBorders>
              <w:top w:val="nil"/>
              <w:left w:val="nil"/>
              <w:bottom w:val="nil"/>
              <w:right w:val="nil"/>
            </w:tcBorders>
            <w:shd w:val="clear" w:color="auto" w:fill="auto"/>
            <w:noWrap/>
            <w:vAlign w:val="center"/>
            <w:hideMark/>
          </w:tcPr>
          <w:p w14:paraId="651A3D7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3AB4D8BF"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46EBDB0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-0.06</w:t>
            </w:r>
          </w:p>
        </w:tc>
        <w:tc>
          <w:tcPr>
            <w:tcW w:w="561" w:type="pct"/>
            <w:tcBorders>
              <w:top w:val="nil"/>
              <w:left w:val="nil"/>
              <w:bottom w:val="nil"/>
              <w:right w:val="nil"/>
            </w:tcBorders>
            <w:shd w:val="clear" w:color="auto" w:fill="auto"/>
            <w:noWrap/>
            <w:vAlign w:val="center"/>
            <w:hideMark/>
          </w:tcPr>
          <w:p w14:paraId="613F360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-6.20</w:t>
            </w:r>
          </w:p>
        </w:tc>
        <w:tc>
          <w:tcPr>
            <w:tcW w:w="343" w:type="pct"/>
            <w:tcBorders>
              <w:top w:val="nil"/>
              <w:left w:val="nil"/>
              <w:bottom w:val="nil"/>
              <w:right w:val="nil"/>
            </w:tcBorders>
            <w:shd w:val="clear" w:color="auto" w:fill="auto"/>
            <w:noWrap/>
            <w:vAlign w:val="center"/>
            <w:hideMark/>
          </w:tcPr>
          <w:p w14:paraId="510855C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0.26</w:t>
            </w:r>
          </w:p>
        </w:tc>
      </w:tr>
      <w:tr w:rsidR="00E37084" w:rsidRPr="00E37084" w14:paraId="0E61DB86" w14:textId="77777777" w:rsidTr="00EE68F9">
        <w:trPr>
          <w:trHeight w:val="300"/>
        </w:trPr>
        <w:tc>
          <w:tcPr>
            <w:tcW w:w="933" w:type="pct"/>
            <w:tcBorders>
              <w:top w:val="nil"/>
              <w:left w:val="nil"/>
              <w:bottom w:val="nil"/>
              <w:right w:val="nil"/>
            </w:tcBorders>
            <w:shd w:val="clear" w:color="auto" w:fill="auto"/>
            <w:noWrap/>
            <w:vAlign w:val="center"/>
            <w:hideMark/>
          </w:tcPr>
          <w:p w14:paraId="7F498FD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6" w:type="pct"/>
            <w:tcBorders>
              <w:top w:val="nil"/>
              <w:left w:val="nil"/>
              <w:bottom w:val="nil"/>
              <w:right w:val="nil"/>
            </w:tcBorders>
            <w:shd w:val="clear" w:color="auto" w:fill="auto"/>
            <w:noWrap/>
            <w:vAlign w:val="center"/>
            <w:hideMark/>
          </w:tcPr>
          <w:p w14:paraId="441F836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91" w:type="pct"/>
            <w:tcBorders>
              <w:top w:val="nil"/>
              <w:left w:val="nil"/>
              <w:bottom w:val="nil"/>
              <w:right w:val="nil"/>
            </w:tcBorders>
            <w:shd w:val="clear" w:color="auto" w:fill="auto"/>
            <w:noWrap/>
            <w:vAlign w:val="center"/>
            <w:hideMark/>
          </w:tcPr>
          <w:p w14:paraId="0800895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(0.22)</w:t>
            </w:r>
          </w:p>
        </w:tc>
        <w:tc>
          <w:tcPr>
            <w:tcW w:w="588" w:type="pct"/>
            <w:tcBorders>
              <w:top w:val="nil"/>
              <w:left w:val="nil"/>
              <w:bottom w:val="nil"/>
              <w:right w:val="nil"/>
            </w:tcBorders>
            <w:shd w:val="clear" w:color="auto" w:fill="auto"/>
            <w:noWrap/>
            <w:vAlign w:val="center"/>
            <w:hideMark/>
          </w:tcPr>
          <w:p w14:paraId="17A1ABA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30438987"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29FFC1A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(0.56)</w:t>
            </w:r>
          </w:p>
        </w:tc>
        <w:tc>
          <w:tcPr>
            <w:tcW w:w="561" w:type="pct"/>
            <w:tcBorders>
              <w:top w:val="nil"/>
              <w:left w:val="nil"/>
              <w:bottom w:val="nil"/>
              <w:right w:val="nil"/>
            </w:tcBorders>
            <w:shd w:val="clear" w:color="auto" w:fill="auto"/>
            <w:noWrap/>
            <w:vAlign w:val="center"/>
            <w:hideMark/>
          </w:tcPr>
          <w:p w14:paraId="53B60E8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(0.27)</w:t>
            </w:r>
          </w:p>
        </w:tc>
        <w:tc>
          <w:tcPr>
            <w:tcW w:w="343" w:type="pct"/>
            <w:tcBorders>
              <w:top w:val="nil"/>
              <w:left w:val="nil"/>
              <w:bottom w:val="nil"/>
              <w:right w:val="nil"/>
            </w:tcBorders>
            <w:shd w:val="clear" w:color="auto" w:fill="auto"/>
            <w:noWrap/>
            <w:vAlign w:val="center"/>
            <w:hideMark/>
          </w:tcPr>
          <w:p w14:paraId="0A58DEA3"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29E63D02" w14:textId="77777777" w:rsidTr="00EE68F9">
        <w:trPr>
          <w:trHeight w:val="300"/>
        </w:trPr>
        <w:tc>
          <w:tcPr>
            <w:tcW w:w="933" w:type="pct"/>
            <w:tcBorders>
              <w:top w:val="nil"/>
              <w:left w:val="nil"/>
              <w:bottom w:val="nil"/>
              <w:right w:val="nil"/>
            </w:tcBorders>
            <w:shd w:val="clear" w:color="auto" w:fill="auto"/>
            <w:noWrap/>
            <w:vAlign w:val="center"/>
            <w:hideMark/>
          </w:tcPr>
          <w:p w14:paraId="5B2F6205"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596" w:type="pct"/>
            <w:tcBorders>
              <w:top w:val="nil"/>
              <w:left w:val="nil"/>
              <w:bottom w:val="nil"/>
              <w:right w:val="nil"/>
            </w:tcBorders>
            <w:shd w:val="clear" w:color="auto" w:fill="auto"/>
            <w:noWrap/>
            <w:vAlign w:val="center"/>
            <w:hideMark/>
          </w:tcPr>
          <w:p w14:paraId="43D0387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-516.61</w:t>
            </w:r>
          </w:p>
        </w:tc>
        <w:tc>
          <w:tcPr>
            <w:tcW w:w="591" w:type="pct"/>
            <w:tcBorders>
              <w:top w:val="nil"/>
              <w:left w:val="nil"/>
              <w:bottom w:val="nil"/>
              <w:right w:val="nil"/>
            </w:tcBorders>
            <w:shd w:val="clear" w:color="auto" w:fill="auto"/>
            <w:noWrap/>
            <w:vAlign w:val="center"/>
            <w:hideMark/>
          </w:tcPr>
          <w:p w14:paraId="26127D6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-4.11*</w:t>
            </w:r>
          </w:p>
        </w:tc>
        <w:tc>
          <w:tcPr>
            <w:tcW w:w="588" w:type="pct"/>
            <w:tcBorders>
              <w:top w:val="nil"/>
              <w:left w:val="nil"/>
              <w:bottom w:val="nil"/>
              <w:right w:val="nil"/>
            </w:tcBorders>
            <w:shd w:val="clear" w:color="auto" w:fill="auto"/>
            <w:noWrap/>
            <w:vAlign w:val="center"/>
            <w:hideMark/>
          </w:tcPr>
          <w:p w14:paraId="2E629CC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22.08*</w:t>
            </w:r>
          </w:p>
        </w:tc>
        <w:tc>
          <w:tcPr>
            <w:tcW w:w="654" w:type="pct"/>
            <w:tcBorders>
              <w:top w:val="nil"/>
              <w:left w:val="nil"/>
              <w:bottom w:val="nil"/>
              <w:right w:val="nil"/>
            </w:tcBorders>
            <w:shd w:val="clear" w:color="auto" w:fill="auto"/>
            <w:noWrap/>
            <w:vAlign w:val="center"/>
            <w:hideMark/>
          </w:tcPr>
          <w:p w14:paraId="18258AD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734CEA7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-1.07</w:t>
            </w:r>
          </w:p>
        </w:tc>
        <w:tc>
          <w:tcPr>
            <w:tcW w:w="561" w:type="pct"/>
            <w:tcBorders>
              <w:top w:val="nil"/>
              <w:left w:val="nil"/>
              <w:bottom w:val="nil"/>
              <w:right w:val="nil"/>
            </w:tcBorders>
            <w:shd w:val="clear" w:color="auto" w:fill="auto"/>
            <w:noWrap/>
            <w:vAlign w:val="center"/>
            <w:hideMark/>
          </w:tcPr>
          <w:p w14:paraId="68CBE18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-59.38</w:t>
            </w:r>
          </w:p>
        </w:tc>
        <w:tc>
          <w:tcPr>
            <w:tcW w:w="343" w:type="pct"/>
            <w:tcBorders>
              <w:top w:val="nil"/>
              <w:left w:val="nil"/>
              <w:bottom w:val="nil"/>
              <w:right w:val="nil"/>
            </w:tcBorders>
            <w:shd w:val="clear" w:color="auto" w:fill="auto"/>
            <w:noWrap/>
            <w:vAlign w:val="center"/>
            <w:hideMark/>
          </w:tcPr>
          <w:p w14:paraId="70989DA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0.88</w:t>
            </w:r>
          </w:p>
        </w:tc>
      </w:tr>
      <w:tr w:rsidR="00E37084" w:rsidRPr="00E37084" w14:paraId="3901C98F" w14:textId="77777777" w:rsidTr="00EE68F9">
        <w:trPr>
          <w:trHeight w:val="300"/>
        </w:trPr>
        <w:tc>
          <w:tcPr>
            <w:tcW w:w="933" w:type="pct"/>
            <w:tcBorders>
              <w:top w:val="nil"/>
              <w:left w:val="nil"/>
              <w:bottom w:val="nil"/>
              <w:right w:val="nil"/>
            </w:tcBorders>
            <w:shd w:val="clear" w:color="auto" w:fill="auto"/>
            <w:noWrap/>
            <w:vAlign w:val="center"/>
            <w:hideMark/>
          </w:tcPr>
          <w:p w14:paraId="00BF481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6" w:type="pct"/>
            <w:tcBorders>
              <w:top w:val="nil"/>
              <w:left w:val="nil"/>
              <w:bottom w:val="nil"/>
              <w:right w:val="nil"/>
            </w:tcBorders>
            <w:shd w:val="clear" w:color="auto" w:fill="auto"/>
            <w:noWrap/>
            <w:vAlign w:val="center"/>
            <w:hideMark/>
          </w:tcPr>
          <w:p w14:paraId="453CCC4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(0.49)</w:t>
            </w:r>
          </w:p>
        </w:tc>
        <w:tc>
          <w:tcPr>
            <w:tcW w:w="591" w:type="pct"/>
            <w:tcBorders>
              <w:top w:val="nil"/>
              <w:left w:val="nil"/>
              <w:bottom w:val="nil"/>
              <w:right w:val="nil"/>
            </w:tcBorders>
            <w:shd w:val="clear" w:color="auto" w:fill="auto"/>
            <w:noWrap/>
            <w:vAlign w:val="center"/>
            <w:hideMark/>
          </w:tcPr>
          <w:p w14:paraId="4875B5A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8" w:type="pct"/>
            <w:tcBorders>
              <w:top w:val="nil"/>
              <w:left w:val="nil"/>
              <w:bottom w:val="nil"/>
              <w:right w:val="nil"/>
            </w:tcBorders>
            <w:shd w:val="clear" w:color="auto" w:fill="auto"/>
            <w:noWrap/>
            <w:vAlign w:val="center"/>
            <w:hideMark/>
          </w:tcPr>
          <w:p w14:paraId="66C6C89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654" w:type="pct"/>
            <w:tcBorders>
              <w:top w:val="nil"/>
              <w:left w:val="nil"/>
              <w:bottom w:val="nil"/>
              <w:right w:val="nil"/>
            </w:tcBorders>
            <w:shd w:val="clear" w:color="auto" w:fill="auto"/>
            <w:noWrap/>
            <w:vAlign w:val="center"/>
            <w:hideMark/>
          </w:tcPr>
          <w:p w14:paraId="730B466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129840E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(0.10)</w:t>
            </w:r>
          </w:p>
        </w:tc>
        <w:tc>
          <w:tcPr>
            <w:tcW w:w="561" w:type="pct"/>
            <w:tcBorders>
              <w:top w:val="nil"/>
              <w:left w:val="nil"/>
              <w:bottom w:val="nil"/>
              <w:right w:val="nil"/>
            </w:tcBorders>
            <w:shd w:val="clear" w:color="auto" w:fill="auto"/>
            <w:noWrap/>
            <w:vAlign w:val="center"/>
            <w:hideMark/>
          </w:tcPr>
          <w:p w14:paraId="75FD7D0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343" w:type="pct"/>
            <w:tcBorders>
              <w:top w:val="nil"/>
              <w:left w:val="nil"/>
              <w:bottom w:val="nil"/>
              <w:right w:val="nil"/>
            </w:tcBorders>
            <w:shd w:val="clear" w:color="auto" w:fill="auto"/>
            <w:noWrap/>
            <w:vAlign w:val="center"/>
            <w:hideMark/>
          </w:tcPr>
          <w:p w14:paraId="18B37E52"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58EC538" w14:textId="77777777" w:rsidTr="00EE68F9">
        <w:trPr>
          <w:trHeight w:val="300"/>
        </w:trPr>
        <w:tc>
          <w:tcPr>
            <w:tcW w:w="933" w:type="pct"/>
            <w:tcBorders>
              <w:top w:val="nil"/>
              <w:left w:val="nil"/>
              <w:bottom w:val="nil"/>
              <w:right w:val="nil"/>
            </w:tcBorders>
            <w:shd w:val="clear" w:color="auto" w:fill="auto"/>
            <w:noWrap/>
            <w:vAlign w:val="center"/>
            <w:hideMark/>
          </w:tcPr>
          <w:p w14:paraId="149E4E84"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596" w:type="pct"/>
            <w:tcBorders>
              <w:top w:val="nil"/>
              <w:left w:val="nil"/>
              <w:bottom w:val="nil"/>
              <w:right w:val="nil"/>
            </w:tcBorders>
            <w:shd w:val="clear" w:color="auto" w:fill="auto"/>
            <w:noWrap/>
            <w:vAlign w:val="center"/>
            <w:hideMark/>
          </w:tcPr>
          <w:p w14:paraId="1836D01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1108.39</w:t>
            </w:r>
          </w:p>
        </w:tc>
        <w:tc>
          <w:tcPr>
            <w:tcW w:w="591" w:type="pct"/>
            <w:tcBorders>
              <w:top w:val="nil"/>
              <w:left w:val="nil"/>
              <w:bottom w:val="nil"/>
              <w:right w:val="nil"/>
            </w:tcBorders>
            <w:shd w:val="clear" w:color="auto" w:fill="auto"/>
            <w:noWrap/>
            <w:vAlign w:val="center"/>
            <w:hideMark/>
          </w:tcPr>
          <w:p w14:paraId="09D97CF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-1.85</w:t>
            </w:r>
          </w:p>
        </w:tc>
        <w:tc>
          <w:tcPr>
            <w:tcW w:w="588" w:type="pct"/>
            <w:tcBorders>
              <w:top w:val="nil"/>
              <w:left w:val="nil"/>
              <w:bottom w:val="nil"/>
              <w:right w:val="nil"/>
            </w:tcBorders>
            <w:shd w:val="clear" w:color="auto" w:fill="auto"/>
            <w:noWrap/>
            <w:vAlign w:val="center"/>
            <w:hideMark/>
          </w:tcPr>
          <w:p w14:paraId="779BC035"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2D299F1A"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30C9670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-1.64</w:t>
            </w:r>
          </w:p>
        </w:tc>
        <w:tc>
          <w:tcPr>
            <w:tcW w:w="561" w:type="pct"/>
            <w:tcBorders>
              <w:top w:val="nil"/>
              <w:left w:val="nil"/>
              <w:bottom w:val="nil"/>
              <w:right w:val="nil"/>
            </w:tcBorders>
            <w:shd w:val="clear" w:color="auto" w:fill="auto"/>
            <w:noWrap/>
            <w:vAlign w:val="center"/>
            <w:hideMark/>
          </w:tcPr>
          <w:p w14:paraId="3981AB4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363.81*</w:t>
            </w:r>
          </w:p>
        </w:tc>
        <w:tc>
          <w:tcPr>
            <w:tcW w:w="343" w:type="pct"/>
            <w:tcBorders>
              <w:top w:val="nil"/>
              <w:left w:val="nil"/>
              <w:bottom w:val="nil"/>
              <w:right w:val="nil"/>
            </w:tcBorders>
            <w:shd w:val="clear" w:color="auto" w:fill="auto"/>
            <w:noWrap/>
            <w:vAlign w:val="center"/>
            <w:hideMark/>
          </w:tcPr>
          <w:p w14:paraId="3E942CF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0.76</w:t>
            </w:r>
          </w:p>
        </w:tc>
      </w:tr>
      <w:tr w:rsidR="00E37084" w:rsidRPr="00E37084" w14:paraId="3D994422" w14:textId="77777777" w:rsidTr="00EE68F9">
        <w:trPr>
          <w:trHeight w:val="300"/>
        </w:trPr>
        <w:tc>
          <w:tcPr>
            <w:tcW w:w="933" w:type="pct"/>
            <w:tcBorders>
              <w:top w:val="nil"/>
              <w:left w:val="nil"/>
              <w:bottom w:val="nil"/>
              <w:right w:val="nil"/>
            </w:tcBorders>
            <w:shd w:val="clear" w:color="auto" w:fill="auto"/>
            <w:noWrap/>
            <w:vAlign w:val="center"/>
            <w:hideMark/>
          </w:tcPr>
          <w:p w14:paraId="6130D0F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6" w:type="pct"/>
            <w:tcBorders>
              <w:top w:val="nil"/>
              <w:left w:val="nil"/>
              <w:bottom w:val="nil"/>
              <w:right w:val="nil"/>
            </w:tcBorders>
            <w:shd w:val="clear" w:color="auto" w:fill="auto"/>
            <w:noWrap/>
            <w:vAlign w:val="center"/>
            <w:hideMark/>
          </w:tcPr>
          <w:p w14:paraId="28CE0CA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(0.50)</w:t>
            </w:r>
          </w:p>
        </w:tc>
        <w:tc>
          <w:tcPr>
            <w:tcW w:w="591" w:type="pct"/>
            <w:tcBorders>
              <w:top w:val="nil"/>
              <w:left w:val="nil"/>
              <w:bottom w:val="nil"/>
              <w:right w:val="nil"/>
            </w:tcBorders>
            <w:shd w:val="clear" w:color="auto" w:fill="auto"/>
            <w:noWrap/>
            <w:vAlign w:val="center"/>
            <w:hideMark/>
          </w:tcPr>
          <w:p w14:paraId="03C7D92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(0.34)</w:t>
            </w:r>
          </w:p>
        </w:tc>
        <w:tc>
          <w:tcPr>
            <w:tcW w:w="588" w:type="pct"/>
            <w:tcBorders>
              <w:top w:val="nil"/>
              <w:left w:val="nil"/>
              <w:bottom w:val="nil"/>
              <w:right w:val="nil"/>
            </w:tcBorders>
            <w:shd w:val="clear" w:color="auto" w:fill="auto"/>
            <w:noWrap/>
            <w:vAlign w:val="center"/>
            <w:hideMark/>
          </w:tcPr>
          <w:p w14:paraId="24E2846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20FD8DED"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3A3A8D4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(0.40)</w:t>
            </w:r>
          </w:p>
        </w:tc>
        <w:tc>
          <w:tcPr>
            <w:tcW w:w="561" w:type="pct"/>
            <w:tcBorders>
              <w:top w:val="nil"/>
              <w:left w:val="nil"/>
              <w:bottom w:val="nil"/>
              <w:right w:val="nil"/>
            </w:tcBorders>
            <w:shd w:val="clear" w:color="auto" w:fill="auto"/>
            <w:noWrap/>
            <w:vAlign w:val="center"/>
            <w:hideMark/>
          </w:tcPr>
          <w:p w14:paraId="734A778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343" w:type="pct"/>
            <w:tcBorders>
              <w:top w:val="nil"/>
              <w:left w:val="nil"/>
              <w:bottom w:val="nil"/>
              <w:right w:val="nil"/>
            </w:tcBorders>
            <w:shd w:val="clear" w:color="auto" w:fill="auto"/>
            <w:noWrap/>
            <w:vAlign w:val="center"/>
            <w:hideMark/>
          </w:tcPr>
          <w:p w14:paraId="0AD8E36B"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214F29A1" w14:textId="77777777" w:rsidTr="00EE68F9">
        <w:trPr>
          <w:trHeight w:val="300"/>
        </w:trPr>
        <w:tc>
          <w:tcPr>
            <w:tcW w:w="933" w:type="pct"/>
            <w:tcBorders>
              <w:top w:val="nil"/>
              <w:left w:val="nil"/>
              <w:bottom w:val="nil"/>
              <w:right w:val="nil"/>
            </w:tcBorders>
            <w:shd w:val="clear" w:color="auto" w:fill="auto"/>
            <w:noWrap/>
            <w:vAlign w:val="center"/>
            <w:hideMark/>
          </w:tcPr>
          <w:p w14:paraId="3BD79209"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596" w:type="pct"/>
            <w:tcBorders>
              <w:top w:val="nil"/>
              <w:left w:val="nil"/>
              <w:bottom w:val="nil"/>
              <w:right w:val="nil"/>
            </w:tcBorders>
            <w:shd w:val="clear" w:color="auto" w:fill="auto"/>
            <w:noWrap/>
            <w:vAlign w:val="center"/>
            <w:hideMark/>
          </w:tcPr>
          <w:p w14:paraId="580A3A4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387.30</w:t>
            </w:r>
          </w:p>
        </w:tc>
        <w:tc>
          <w:tcPr>
            <w:tcW w:w="591" w:type="pct"/>
            <w:tcBorders>
              <w:top w:val="nil"/>
              <w:left w:val="nil"/>
              <w:bottom w:val="nil"/>
              <w:right w:val="nil"/>
            </w:tcBorders>
            <w:shd w:val="clear" w:color="auto" w:fill="auto"/>
            <w:noWrap/>
            <w:vAlign w:val="center"/>
            <w:hideMark/>
          </w:tcPr>
          <w:p w14:paraId="1B69F1C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-0.99</w:t>
            </w:r>
          </w:p>
        </w:tc>
        <w:tc>
          <w:tcPr>
            <w:tcW w:w="588" w:type="pct"/>
            <w:tcBorders>
              <w:top w:val="nil"/>
              <w:left w:val="nil"/>
              <w:bottom w:val="nil"/>
              <w:right w:val="nil"/>
            </w:tcBorders>
            <w:shd w:val="clear" w:color="auto" w:fill="auto"/>
            <w:noWrap/>
            <w:vAlign w:val="center"/>
            <w:hideMark/>
          </w:tcPr>
          <w:p w14:paraId="4A6C7C0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4.17</w:t>
            </w:r>
          </w:p>
        </w:tc>
        <w:tc>
          <w:tcPr>
            <w:tcW w:w="654" w:type="pct"/>
            <w:tcBorders>
              <w:top w:val="nil"/>
              <w:left w:val="nil"/>
              <w:bottom w:val="nil"/>
              <w:right w:val="nil"/>
            </w:tcBorders>
            <w:shd w:val="clear" w:color="auto" w:fill="auto"/>
            <w:noWrap/>
            <w:vAlign w:val="center"/>
            <w:hideMark/>
          </w:tcPr>
          <w:p w14:paraId="3EDE657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74E67E8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-0.46</w:t>
            </w:r>
          </w:p>
        </w:tc>
        <w:tc>
          <w:tcPr>
            <w:tcW w:w="561" w:type="pct"/>
            <w:tcBorders>
              <w:top w:val="nil"/>
              <w:left w:val="nil"/>
              <w:bottom w:val="nil"/>
              <w:right w:val="nil"/>
            </w:tcBorders>
            <w:shd w:val="clear" w:color="auto" w:fill="auto"/>
            <w:noWrap/>
            <w:vAlign w:val="center"/>
            <w:hideMark/>
          </w:tcPr>
          <w:p w14:paraId="4991297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-23.25</w:t>
            </w:r>
          </w:p>
        </w:tc>
        <w:tc>
          <w:tcPr>
            <w:tcW w:w="343" w:type="pct"/>
            <w:tcBorders>
              <w:top w:val="nil"/>
              <w:left w:val="nil"/>
              <w:bottom w:val="nil"/>
              <w:right w:val="nil"/>
            </w:tcBorders>
            <w:shd w:val="clear" w:color="auto" w:fill="auto"/>
            <w:noWrap/>
            <w:vAlign w:val="center"/>
            <w:hideMark/>
          </w:tcPr>
          <w:p w14:paraId="60F13A1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0.43</w:t>
            </w:r>
          </w:p>
        </w:tc>
      </w:tr>
      <w:tr w:rsidR="00E37084" w:rsidRPr="00E37084" w14:paraId="190791FB" w14:textId="77777777" w:rsidTr="00EE68F9">
        <w:trPr>
          <w:trHeight w:val="300"/>
        </w:trPr>
        <w:tc>
          <w:tcPr>
            <w:tcW w:w="933" w:type="pct"/>
            <w:tcBorders>
              <w:top w:val="nil"/>
              <w:left w:val="nil"/>
              <w:bottom w:val="nil"/>
              <w:right w:val="nil"/>
            </w:tcBorders>
            <w:shd w:val="clear" w:color="auto" w:fill="auto"/>
            <w:noWrap/>
            <w:vAlign w:val="center"/>
            <w:hideMark/>
          </w:tcPr>
          <w:p w14:paraId="74FCB6B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6" w:type="pct"/>
            <w:tcBorders>
              <w:top w:val="nil"/>
              <w:left w:val="nil"/>
              <w:bottom w:val="nil"/>
              <w:right w:val="nil"/>
            </w:tcBorders>
            <w:shd w:val="clear" w:color="auto" w:fill="auto"/>
            <w:noWrap/>
            <w:vAlign w:val="center"/>
            <w:hideMark/>
          </w:tcPr>
          <w:p w14:paraId="1DFA714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(0.72)</w:t>
            </w:r>
          </w:p>
        </w:tc>
        <w:tc>
          <w:tcPr>
            <w:tcW w:w="591" w:type="pct"/>
            <w:tcBorders>
              <w:top w:val="nil"/>
              <w:left w:val="nil"/>
              <w:bottom w:val="nil"/>
              <w:right w:val="nil"/>
            </w:tcBorders>
            <w:shd w:val="clear" w:color="auto" w:fill="auto"/>
            <w:noWrap/>
            <w:vAlign w:val="center"/>
            <w:hideMark/>
          </w:tcPr>
          <w:p w14:paraId="2BD8B91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(0.10)</w:t>
            </w:r>
          </w:p>
        </w:tc>
        <w:tc>
          <w:tcPr>
            <w:tcW w:w="588" w:type="pct"/>
            <w:tcBorders>
              <w:top w:val="nil"/>
              <w:left w:val="nil"/>
              <w:bottom w:val="nil"/>
              <w:right w:val="nil"/>
            </w:tcBorders>
            <w:shd w:val="clear" w:color="auto" w:fill="auto"/>
            <w:noWrap/>
            <w:vAlign w:val="center"/>
            <w:hideMark/>
          </w:tcPr>
          <w:p w14:paraId="34416A5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(0.67)</w:t>
            </w:r>
          </w:p>
        </w:tc>
        <w:tc>
          <w:tcPr>
            <w:tcW w:w="654" w:type="pct"/>
            <w:tcBorders>
              <w:top w:val="nil"/>
              <w:left w:val="nil"/>
              <w:bottom w:val="nil"/>
              <w:right w:val="nil"/>
            </w:tcBorders>
            <w:shd w:val="clear" w:color="auto" w:fill="auto"/>
            <w:noWrap/>
            <w:vAlign w:val="center"/>
            <w:hideMark/>
          </w:tcPr>
          <w:p w14:paraId="4C99744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360EBE7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(0.31)</w:t>
            </w:r>
          </w:p>
        </w:tc>
        <w:tc>
          <w:tcPr>
            <w:tcW w:w="561" w:type="pct"/>
            <w:tcBorders>
              <w:top w:val="nil"/>
              <w:left w:val="nil"/>
              <w:bottom w:val="nil"/>
              <w:right w:val="nil"/>
            </w:tcBorders>
            <w:shd w:val="clear" w:color="auto" w:fill="auto"/>
            <w:noWrap/>
            <w:vAlign w:val="center"/>
            <w:hideMark/>
          </w:tcPr>
          <w:p w14:paraId="6EAE43B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(0.50)</w:t>
            </w:r>
          </w:p>
        </w:tc>
        <w:tc>
          <w:tcPr>
            <w:tcW w:w="343" w:type="pct"/>
            <w:tcBorders>
              <w:top w:val="nil"/>
              <w:left w:val="nil"/>
              <w:bottom w:val="nil"/>
              <w:right w:val="nil"/>
            </w:tcBorders>
            <w:shd w:val="clear" w:color="auto" w:fill="auto"/>
            <w:noWrap/>
            <w:vAlign w:val="center"/>
            <w:hideMark/>
          </w:tcPr>
          <w:p w14:paraId="2E694EFA"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8723A64" w14:textId="77777777" w:rsidTr="00EE68F9">
        <w:trPr>
          <w:trHeight w:val="300"/>
        </w:trPr>
        <w:tc>
          <w:tcPr>
            <w:tcW w:w="933" w:type="pct"/>
            <w:tcBorders>
              <w:top w:val="nil"/>
              <w:left w:val="nil"/>
              <w:bottom w:val="nil"/>
              <w:right w:val="nil"/>
            </w:tcBorders>
            <w:shd w:val="clear" w:color="auto" w:fill="auto"/>
            <w:noWrap/>
            <w:vAlign w:val="center"/>
            <w:hideMark/>
          </w:tcPr>
          <w:p w14:paraId="527816C2"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596" w:type="pct"/>
            <w:tcBorders>
              <w:top w:val="nil"/>
              <w:left w:val="nil"/>
              <w:bottom w:val="nil"/>
              <w:right w:val="nil"/>
            </w:tcBorders>
            <w:shd w:val="clear" w:color="auto" w:fill="auto"/>
            <w:noWrap/>
            <w:vAlign w:val="center"/>
            <w:hideMark/>
          </w:tcPr>
          <w:p w14:paraId="640E02B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34409.08</w:t>
            </w:r>
          </w:p>
        </w:tc>
        <w:tc>
          <w:tcPr>
            <w:tcW w:w="591" w:type="pct"/>
            <w:tcBorders>
              <w:top w:val="nil"/>
              <w:left w:val="nil"/>
              <w:bottom w:val="nil"/>
              <w:right w:val="nil"/>
            </w:tcBorders>
            <w:shd w:val="clear" w:color="auto" w:fill="auto"/>
            <w:noWrap/>
            <w:vAlign w:val="center"/>
            <w:hideMark/>
          </w:tcPr>
          <w:p w14:paraId="088C0CF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-38.45*</w:t>
            </w:r>
          </w:p>
        </w:tc>
        <w:tc>
          <w:tcPr>
            <w:tcW w:w="588" w:type="pct"/>
            <w:tcBorders>
              <w:top w:val="nil"/>
              <w:left w:val="nil"/>
              <w:bottom w:val="nil"/>
              <w:right w:val="nil"/>
            </w:tcBorders>
            <w:shd w:val="clear" w:color="auto" w:fill="auto"/>
            <w:noWrap/>
            <w:vAlign w:val="center"/>
            <w:hideMark/>
          </w:tcPr>
          <w:p w14:paraId="7FD92BD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119.96</w:t>
            </w:r>
          </w:p>
        </w:tc>
        <w:tc>
          <w:tcPr>
            <w:tcW w:w="654" w:type="pct"/>
            <w:tcBorders>
              <w:top w:val="nil"/>
              <w:left w:val="nil"/>
              <w:bottom w:val="nil"/>
              <w:right w:val="nil"/>
            </w:tcBorders>
            <w:shd w:val="clear" w:color="auto" w:fill="auto"/>
            <w:noWrap/>
            <w:vAlign w:val="center"/>
            <w:hideMark/>
          </w:tcPr>
          <w:p w14:paraId="49733949"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6469744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-24.94</w:t>
            </w:r>
          </w:p>
        </w:tc>
        <w:tc>
          <w:tcPr>
            <w:tcW w:w="561" w:type="pct"/>
            <w:tcBorders>
              <w:top w:val="nil"/>
              <w:left w:val="nil"/>
              <w:bottom w:val="nil"/>
              <w:right w:val="nil"/>
            </w:tcBorders>
            <w:shd w:val="clear" w:color="auto" w:fill="auto"/>
            <w:noWrap/>
            <w:vAlign w:val="center"/>
            <w:hideMark/>
          </w:tcPr>
          <w:p w14:paraId="3C9E513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-470.25</w:t>
            </w:r>
          </w:p>
        </w:tc>
        <w:tc>
          <w:tcPr>
            <w:tcW w:w="343" w:type="pct"/>
            <w:tcBorders>
              <w:top w:val="nil"/>
              <w:left w:val="nil"/>
              <w:bottom w:val="nil"/>
              <w:right w:val="nil"/>
            </w:tcBorders>
            <w:shd w:val="clear" w:color="auto" w:fill="auto"/>
            <w:noWrap/>
            <w:vAlign w:val="center"/>
            <w:hideMark/>
          </w:tcPr>
          <w:p w14:paraId="209F404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0.63</w:t>
            </w:r>
          </w:p>
        </w:tc>
      </w:tr>
      <w:tr w:rsidR="00E37084" w:rsidRPr="00E37084" w14:paraId="466C80CB" w14:textId="77777777" w:rsidTr="00EE68F9">
        <w:trPr>
          <w:trHeight w:val="300"/>
        </w:trPr>
        <w:tc>
          <w:tcPr>
            <w:tcW w:w="933" w:type="pct"/>
            <w:tcBorders>
              <w:top w:val="nil"/>
              <w:left w:val="nil"/>
              <w:bottom w:val="nil"/>
              <w:right w:val="nil"/>
            </w:tcBorders>
            <w:shd w:val="clear" w:color="auto" w:fill="auto"/>
            <w:noWrap/>
            <w:vAlign w:val="center"/>
            <w:hideMark/>
          </w:tcPr>
          <w:p w14:paraId="7136CA3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6" w:type="pct"/>
            <w:tcBorders>
              <w:top w:val="nil"/>
              <w:left w:val="nil"/>
              <w:bottom w:val="nil"/>
              <w:right w:val="nil"/>
            </w:tcBorders>
            <w:shd w:val="clear" w:color="auto" w:fill="auto"/>
            <w:noWrap/>
            <w:vAlign w:val="center"/>
            <w:hideMark/>
          </w:tcPr>
          <w:p w14:paraId="5DF7BF0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591" w:type="pct"/>
            <w:tcBorders>
              <w:top w:val="nil"/>
              <w:left w:val="nil"/>
              <w:bottom w:val="nil"/>
              <w:right w:val="nil"/>
            </w:tcBorders>
            <w:shd w:val="clear" w:color="auto" w:fill="auto"/>
            <w:noWrap/>
            <w:vAlign w:val="center"/>
            <w:hideMark/>
          </w:tcPr>
          <w:p w14:paraId="0468218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88" w:type="pct"/>
            <w:tcBorders>
              <w:top w:val="nil"/>
              <w:left w:val="nil"/>
              <w:bottom w:val="nil"/>
              <w:right w:val="nil"/>
            </w:tcBorders>
            <w:shd w:val="clear" w:color="auto" w:fill="auto"/>
            <w:noWrap/>
            <w:vAlign w:val="center"/>
            <w:hideMark/>
          </w:tcPr>
          <w:p w14:paraId="29DACB1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(0.42)</w:t>
            </w:r>
          </w:p>
        </w:tc>
        <w:tc>
          <w:tcPr>
            <w:tcW w:w="654" w:type="pct"/>
            <w:tcBorders>
              <w:top w:val="nil"/>
              <w:left w:val="nil"/>
              <w:bottom w:val="nil"/>
              <w:right w:val="nil"/>
            </w:tcBorders>
            <w:shd w:val="clear" w:color="auto" w:fill="auto"/>
            <w:noWrap/>
            <w:vAlign w:val="center"/>
            <w:hideMark/>
          </w:tcPr>
          <w:p w14:paraId="49AD76F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1EBA8EA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(0.09)</w:t>
            </w:r>
          </w:p>
        </w:tc>
        <w:tc>
          <w:tcPr>
            <w:tcW w:w="561" w:type="pct"/>
            <w:tcBorders>
              <w:top w:val="nil"/>
              <w:left w:val="nil"/>
              <w:bottom w:val="nil"/>
              <w:right w:val="nil"/>
            </w:tcBorders>
            <w:shd w:val="clear" w:color="auto" w:fill="auto"/>
            <w:noWrap/>
            <w:vAlign w:val="center"/>
            <w:hideMark/>
          </w:tcPr>
          <w:p w14:paraId="75FF156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(0.64)</w:t>
            </w:r>
          </w:p>
        </w:tc>
        <w:tc>
          <w:tcPr>
            <w:tcW w:w="343" w:type="pct"/>
            <w:tcBorders>
              <w:top w:val="nil"/>
              <w:left w:val="nil"/>
              <w:bottom w:val="nil"/>
              <w:right w:val="nil"/>
            </w:tcBorders>
            <w:shd w:val="clear" w:color="auto" w:fill="auto"/>
            <w:noWrap/>
            <w:vAlign w:val="center"/>
            <w:hideMark/>
          </w:tcPr>
          <w:p w14:paraId="55E4D281"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67A8E05B" w14:textId="77777777" w:rsidTr="00EE68F9">
        <w:trPr>
          <w:trHeight w:val="300"/>
        </w:trPr>
        <w:tc>
          <w:tcPr>
            <w:tcW w:w="933" w:type="pct"/>
            <w:tcBorders>
              <w:top w:val="nil"/>
              <w:left w:val="nil"/>
              <w:bottom w:val="nil"/>
              <w:right w:val="nil"/>
            </w:tcBorders>
            <w:shd w:val="clear" w:color="auto" w:fill="auto"/>
            <w:noWrap/>
            <w:vAlign w:val="center"/>
            <w:hideMark/>
          </w:tcPr>
          <w:p w14:paraId="4B95D518"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596" w:type="pct"/>
            <w:tcBorders>
              <w:top w:val="nil"/>
              <w:left w:val="nil"/>
              <w:bottom w:val="nil"/>
              <w:right w:val="nil"/>
            </w:tcBorders>
            <w:shd w:val="clear" w:color="auto" w:fill="auto"/>
            <w:noWrap/>
            <w:vAlign w:val="center"/>
            <w:hideMark/>
          </w:tcPr>
          <w:p w14:paraId="4E1CE26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1498.99</w:t>
            </w:r>
          </w:p>
        </w:tc>
        <w:tc>
          <w:tcPr>
            <w:tcW w:w="591" w:type="pct"/>
            <w:tcBorders>
              <w:top w:val="nil"/>
              <w:left w:val="nil"/>
              <w:bottom w:val="nil"/>
              <w:right w:val="nil"/>
            </w:tcBorders>
            <w:shd w:val="clear" w:color="auto" w:fill="auto"/>
            <w:noWrap/>
            <w:vAlign w:val="center"/>
            <w:hideMark/>
          </w:tcPr>
          <w:p w14:paraId="45260D0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-22.59</w:t>
            </w:r>
          </w:p>
        </w:tc>
        <w:tc>
          <w:tcPr>
            <w:tcW w:w="588" w:type="pct"/>
            <w:tcBorders>
              <w:top w:val="nil"/>
              <w:left w:val="nil"/>
              <w:bottom w:val="nil"/>
              <w:right w:val="nil"/>
            </w:tcBorders>
            <w:shd w:val="clear" w:color="auto" w:fill="auto"/>
            <w:noWrap/>
            <w:vAlign w:val="center"/>
            <w:hideMark/>
          </w:tcPr>
          <w:p w14:paraId="5FCE218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88.97</w:t>
            </w:r>
          </w:p>
        </w:tc>
        <w:tc>
          <w:tcPr>
            <w:tcW w:w="654" w:type="pct"/>
            <w:tcBorders>
              <w:top w:val="nil"/>
              <w:left w:val="nil"/>
              <w:bottom w:val="nil"/>
              <w:right w:val="nil"/>
            </w:tcBorders>
            <w:shd w:val="clear" w:color="auto" w:fill="auto"/>
            <w:noWrap/>
            <w:vAlign w:val="center"/>
            <w:hideMark/>
          </w:tcPr>
          <w:p w14:paraId="01E81D8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40C2228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-10.43*</w:t>
            </w:r>
          </w:p>
        </w:tc>
        <w:tc>
          <w:tcPr>
            <w:tcW w:w="561" w:type="pct"/>
            <w:tcBorders>
              <w:top w:val="nil"/>
              <w:left w:val="nil"/>
              <w:bottom w:val="nil"/>
              <w:right w:val="nil"/>
            </w:tcBorders>
            <w:shd w:val="clear" w:color="auto" w:fill="auto"/>
            <w:noWrap/>
            <w:vAlign w:val="center"/>
            <w:hideMark/>
          </w:tcPr>
          <w:p w14:paraId="72B293D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104.48</w:t>
            </w:r>
          </w:p>
        </w:tc>
        <w:tc>
          <w:tcPr>
            <w:tcW w:w="343" w:type="pct"/>
            <w:tcBorders>
              <w:top w:val="nil"/>
              <w:left w:val="nil"/>
              <w:bottom w:val="nil"/>
              <w:right w:val="nil"/>
            </w:tcBorders>
            <w:shd w:val="clear" w:color="auto" w:fill="auto"/>
            <w:noWrap/>
            <w:vAlign w:val="center"/>
            <w:hideMark/>
          </w:tcPr>
          <w:p w14:paraId="47DF96C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0.60</w:t>
            </w:r>
          </w:p>
        </w:tc>
      </w:tr>
      <w:tr w:rsidR="00E37084" w:rsidRPr="00E37084" w14:paraId="474B9B7A" w14:textId="77777777" w:rsidTr="00EE68F9">
        <w:trPr>
          <w:trHeight w:val="300"/>
        </w:trPr>
        <w:tc>
          <w:tcPr>
            <w:tcW w:w="933" w:type="pct"/>
            <w:tcBorders>
              <w:top w:val="nil"/>
              <w:left w:val="nil"/>
              <w:bottom w:val="single" w:sz="4" w:space="0" w:color="auto"/>
              <w:right w:val="nil"/>
            </w:tcBorders>
            <w:shd w:val="clear" w:color="auto" w:fill="auto"/>
            <w:noWrap/>
            <w:vAlign w:val="center"/>
            <w:hideMark/>
          </w:tcPr>
          <w:p w14:paraId="54B3F181"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596" w:type="pct"/>
            <w:tcBorders>
              <w:top w:val="nil"/>
              <w:left w:val="nil"/>
              <w:bottom w:val="single" w:sz="4" w:space="0" w:color="auto"/>
              <w:right w:val="nil"/>
            </w:tcBorders>
            <w:shd w:val="clear" w:color="auto" w:fill="auto"/>
            <w:noWrap/>
            <w:vAlign w:val="center"/>
            <w:hideMark/>
          </w:tcPr>
          <w:p w14:paraId="1644B1A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(0.90)</w:t>
            </w:r>
          </w:p>
        </w:tc>
        <w:tc>
          <w:tcPr>
            <w:tcW w:w="591" w:type="pct"/>
            <w:tcBorders>
              <w:top w:val="nil"/>
              <w:left w:val="nil"/>
              <w:bottom w:val="single" w:sz="4" w:space="0" w:color="auto"/>
              <w:right w:val="nil"/>
            </w:tcBorders>
            <w:shd w:val="clear" w:color="auto" w:fill="auto"/>
            <w:noWrap/>
            <w:vAlign w:val="center"/>
            <w:hideMark/>
          </w:tcPr>
          <w:p w14:paraId="64608B6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588" w:type="pct"/>
            <w:tcBorders>
              <w:top w:val="nil"/>
              <w:left w:val="nil"/>
              <w:bottom w:val="single" w:sz="4" w:space="0" w:color="auto"/>
              <w:right w:val="nil"/>
            </w:tcBorders>
            <w:shd w:val="clear" w:color="auto" w:fill="auto"/>
            <w:noWrap/>
            <w:vAlign w:val="center"/>
            <w:hideMark/>
          </w:tcPr>
          <w:p w14:paraId="66D063D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(0.31)</w:t>
            </w:r>
          </w:p>
        </w:tc>
        <w:tc>
          <w:tcPr>
            <w:tcW w:w="654" w:type="pct"/>
            <w:tcBorders>
              <w:top w:val="nil"/>
              <w:left w:val="nil"/>
              <w:bottom w:val="single" w:sz="4" w:space="0" w:color="auto"/>
              <w:right w:val="nil"/>
            </w:tcBorders>
            <w:shd w:val="clear" w:color="auto" w:fill="auto"/>
            <w:noWrap/>
            <w:vAlign w:val="center"/>
            <w:hideMark/>
          </w:tcPr>
          <w:p w14:paraId="63938AF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34" w:type="pct"/>
            <w:tcBorders>
              <w:top w:val="nil"/>
              <w:left w:val="nil"/>
              <w:bottom w:val="single" w:sz="4" w:space="0" w:color="auto"/>
              <w:right w:val="nil"/>
            </w:tcBorders>
            <w:shd w:val="clear" w:color="auto" w:fill="auto"/>
            <w:noWrap/>
            <w:vAlign w:val="center"/>
            <w:hideMark/>
          </w:tcPr>
          <w:p w14:paraId="2E463D3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61" w:type="pct"/>
            <w:tcBorders>
              <w:top w:val="nil"/>
              <w:left w:val="nil"/>
              <w:bottom w:val="single" w:sz="4" w:space="0" w:color="auto"/>
              <w:right w:val="nil"/>
            </w:tcBorders>
            <w:shd w:val="clear" w:color="auto" w:fill="auto"/>
            <w:noWrap/>
            <w:vAlign w:val="center"/>
            <w:hideMark/>
          </w:tcPr>
          <w:p w14:paraId="57A6E52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(0.64)</w:t>
            </w:r>
          </w:p>
        </w:tc>
        <w:tc>
          <w:tcPr>
            <w:tcW w:w="343" w:type="pct"/>
            <w:tcBorders>
              <w:top w:val="nil"/>
              <w:left w:val="nil"/>
              <w:bottom w:val="single" w:sz="4" w:space="0" w:color="auto"/>
              <w:right w:val="nil"/>
            </w:tcBorders>
            <w:shd w:val="clear" w:color="auto" w:fill="auto"/>
            <w:noWrap/>
            <w:vAlign w:val="center"/>
            <w:hideMark/>
          </w:tcPr>
          <w:p w14:paraId="38B3082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2E6F1B92" w14:textId="3561DCFC" w:rsidR="00E37084" w:rsidRPr="00E37084" w:rsidRDefault="00EE68F9" w:rsidP="00EE68F9">
      <w:pPr>
        <w:pStyle w:val="Notesourcetext"/>
      </w:pPr>
      <w:r>
        <w:t>Note: * denotes significance at the 95% level</w:t>
      </w:r>
    </w:p>
    <w:p w14:paraId="1D8963A3" w14:textId="77777777" w:rsidR="006574BC" w:rsidRDefault="006574BC" w:rsidP="006574BC"/>
    <w:p w14:paraId="3AC01DD6" w14:textId="77777777" w:rsidR="007559C7" w:rsidRDefault="007559C7">
      <w:pPr>
        <w:spacing w:after="0" w:line="240" w:lineRule="auto"/>
      </w:pPr>
      <w:r>
        <w:br w:type="page"/>
      </w:r>
    </w:p>
    <w:p w14:paraId="7745685D" w14:textId="77777777" w:rsidR="00670D13" w:rsidRDefault="00670D13" w:rsidP="00670D13">
      <w:pPr>
        <w:pStyle w:val="Caption"/>
      </w:pPr>
      <w:bookmarkStart w:id="55" w:name="_Toc491356915"/>
      <w:bookmarkStart w:id="56" w:name="_Toc505345893"/>
      <w:r>
        <w:lastRenderedPageBreak/>
        <w:t xml:space="preserve">Table </w:t>
      </w:r>
      <w:r w:rsidR="00915ABD">
        <w:fldChar w:fldCharType="begin"/>
      </w:r>
      <w:r>
        <w:instrText xml:space="preserve"> SEQ Table \* ARABIC </w:instrText>
      </w:r>
      <w:r w:rsidR="00915ABD">
        <w:fldChar w:fldCharType="separate"/>
      </w:r>
      <w:r w:rsidR="00F709AB">
        <w:rPr>
          <w:noProof/>
        </w:rPr>
        <w:t>10</w:t>
      </w:r>
      <w:r w:rsidR="00915ABD">
        <w:fldChar w:fldCharType="end"/>
      </w:r>
      <w:r w:rsidR="006E24BC">
        <w:t xml:space="preserve"> Regression</w:t>
      </w:r>
      <w:r>
        <w:t xml:space="preserve"> results for land use by irrigation activity, VIC Murray (below the Barmah Choke)</w:t>
      </w:r>
      <w:bookmarkEnd w:id="55"/>
      <w:bookmarkEnd w:id="56"/>
    </w:p>
    <w:tbl>
      <w:tblPr>
        <w:tblW w:w="5000" w:type="pct"/>
        <w:tblLook w:val="04A0" w:firstRow="1" w:lastRow="0" w:firstColumn="1" w:lastColumn="0" w:noHBand="0" w:noVBand="1"/>
      </w:tblPr>
      <w:tblGrid>
        <w:gridCol w:w="1693"/>
        <w:gridCol w:w="1079"/>
        <w:gridCol w:w="1074"/>
        <w:gridCol w:w="1067"/>
        <w:gridCol w:w="1186"/>
        <w:gridCol w:w="1331"/>
        <w:gridCol w:w="1018"/>
        <w:gridCol w:w="622"/>
      </w:tblGrid>
      <w:tr w:rsidR="00E37084" w:rsidRPr="00E37084" w14:paraId="21A1B2A4" w14:textId="77777777" w:rsidTr="00EE68F9">
        <w:trPr>
          <w:trHeight w:val="510"/>
        </w:trPr>
        <w:tc>
          <w:tcPr>
            <w:tcW w:w="933" w:type="pct"/>
            <w:tcBorders>
              <w:top w:val="single" w:sz="4" w:space="0" w:color="auto"/>
              <w:left w:val="nil"/>
              <w:bottom w:val="single" w:sz="4" w:space="0" w:color="auto"/>
              <w:right w:val="nil"/>
            </w:tcBorders>
            <w:shd w:val="clear" w:color="auto" w:fill="auto"/>
            <w:noWrap/>
            <w:vAlign w:val="center"/>
            <w:hideMark/>
          </w:tcPr>
          <w:p w14:paraId="65706C76"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595" w:type="pct"/>
            <w:tcBorders>
              <w:top w:val="single" w:sz="4" w:space="0" w:color="auto"/>
              <w:left w:val="nil"/>
              <w:bottom w:val="single" w:sz="4" w:space="0" w:color="auto"/>
              <w:right w:val="nil"/>
            </w:tcBorders>
            <w:shd w:val="clear" w:color="auto" w:fill="auto"/>
            <w:noWrap/>
            <w:vAlign w:val="center"/>
            <w:hideMark/>
          </w:tcPr>
          <w:p w14:paraId="24FDC934"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92" w:type="pct"/>
            <w:tcBorders>
              <w:top w:val="single" w:sz="4" w:space="0" w:color="auto"/>
              <w:left w:val="nil"/>
              <w:bottom w:val="single" w:sz="4" w:space="0" w:color="auto"/>
              <w:right w:val="nil"/>
            </w:tcBorders>
            <w:shd w:val="clear" w:color="auto" w:fill="auto"/>
            <w:noWrap/>
            <w:vAlign w:val="center"/>
            <w:hideMark/>
          </w:tcPr>
          <w:p w14:paraId="371C9DAB"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588" w:type="pct"/>
            <w:tcBorders>
              <w:top w:val="single" w:sz="4" w:space="0" w:color="auto"/>
              <w:left w:val="nil"/>
              <w:bottom w:val="single" w:sz="4" w:space="0" w:color="auto"/>
              <w:right w:val="nil"/>
            </w:tcBorders>
            <w:shd w:val="clear" w:color="auto" w:fill="auto"/>
            <w:vAlign w:val="center"/>
            <w:hideMark/>
          </w:tcPr>
          <w:p w14:paraId="5FD9716D"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Output </w:t>
            </w:r>
            <w:r w:rsidRPr="00E37084">
              <w:rPr>
                <w:rFonts w:eastAsia="Times New Roman"/>
                <w:b/>
                <w:bCs/>
                <w:color w:val="000000"/>
                <w:sz w:val="19"/>
                <w:szCs w:val="19"/>
                <w:lang w:eastAsia="en-AU"/>
              </w:rPr>
              <w:br/>
              <w:t>price (Y)</w:t>
            </w:r>
          </w:p>
        </w:tc>
        <w:tc>
          <w:tcPr>
            <w:tcW w:w="654" w:type="pct"/>
            <w:tcBorders>
              <w:top w:val="single" w:sz="4" w:space="0" w:color="auto"/>
              <w:left w:val="nil"/>
              <w:bottom w:val="single" w:sz="4" w:space="0" w:color="auto"/>
              <w:right w:val="nil"/>
            </w:tcBorders>
            <w:shd w:val="clear" w:color="auto" w:fill="auto"/>
            <w:vAlign w:val="center"/>
            <w:hideMark/>
          </w:tcPr>
          <w:p w14:paraId="33E1474D"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r w:rsidRPr="00E37084">
              <w:rPr>
                <w:rFonts w:eastAsia="Times New Roman"/>
                <w:b/>
                <w:bCs/>
                <w:color w:val="000000"/>
                <w:sz w:val="19"/>
                <w:szCs w:val="19"/>
                <w:lang w:eastAsia="en-AU"/>
              </w:rPr>
              <w:br/>
              <w:t>price (CY)</w:t>
            </w:r>
          </w:p>
        </w:tc>
        <w:tc>
          <w:tcPr>
            <w:tcW w:w="734" w:type="pct"/>
            <w:tcBorders>
              <w:top w:val="single" w:sz="4" w:space="0" w:color="auto"/>
              <w:left w:val="nil"/>
              <w:bottom w:val="single" w:sz="4" w:space="0" w:color="auto"/>
              <w:right w:val="nil"/>
            </w:tcBorders>
            <w:shd w:val="clear" w:color="auto" w:fill="auto"/>
            <w:noWrap/>
            <w:vAlign w:val="center"/>
            <w:hideMark/>
          </w:tcPr>
          <w:p w14:paraId="6479339B"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61" w:type="pct"/>
            <w:tcBorders>
              <w:top w:val="single" w:sz="4" w:space="0" w:color="auto"/>
              <w:left w:val="nil"/>
              <w:bottom w:val="single" w:sz="4" w:space="0" w:color="auto"/>
              <w:right w:val="nil"/>
            </w:tcBorders>
            <w:shd w:val="clear" w:color="auto" w:fill="auto"/>
            <w:noWrap/>
            <w:vAlign w:val="center"/>
            <w:hideMark/>
          </w:tcPr>
          <w:p w14:paraId="18BDAAF6"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43" w:type="pct"/>
            <w:tcBorders>
              <w:top w:val="single" w:sz="4" w:space="0" w:color="auto"/>
              <w:left w:val="nil"/>
              <w:bottom w:val="single" w:sz="4" w:space="0" w:color="auto"/>
              <w:right w:val="nil"/>
            </w:tcBorders>
            <w:shd w:val="clear" w:color="auto" w:fill="auto"/>
            <w:noWrap/>
            <w:vAlign w:val="center"/>
            <w:hideMark/>
          </w:tcPr>
          <w:p w14:paraId="3F545730"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4C5131E1" w14:textId="77777777" w:rsidTr="00EE68F9">
        <w:trPr>
          <w:trHeight w:val="300"/>
        </w:trPr>
        <w:tc>
          <w:tcPr>
            <w:tcW w:w="933" w:type="pct"/>
            <w:tcBorders>
              <w:top w:val="nil"/>
              <w:left w:val="nil"/>
              <w:bottom w:val="nil"/>
              <w:right w:val="nil"/>
            </w:tcBorders>
            <w:shd w:val="clear" w:color="auto" w:fill="auto"/>
            <w:noWrap/>
            <w:vAlign w:val="center"/>
            <w:hideMark/>
          </w:tcPr>
          <w:p w14:paraId="534F0E20"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595" w:type="pct"/>
            <w:tcBorders>
              <w:top w:val="nil"/>
              <w:left w:val="nil"/>
              <w:bottom w:val="nil"/>
              <w:right w:val="nil"/>
            </w:tcBorders>
            <w:shd w:val="clear" w:color="auto" w:fill="auto"/>
            <w:noWrap/>
            <w:vAlign w:val="center"/>
            <w:hideMark/>
          </w:tcPr>
          <w:p w14:paraId="1ADDC59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-452.60</w:t>
            </w:r>
          </w:p>
        </w:tc>
        <w:tc>
          <w:tcPr>
            <w:tcW w:w="592" w:type="pct"/>
            <w:tcBorders>
              <w:top w:val="nil"/>
              <w:left w:val="nil"/>
              <w:bottom w:val="nil"/>
              <w:right w:val="nil"/>
            </w:tcBorders>
            <w:shd w:val="clear" w:color="auto" w:fill="auto"/>
            <w:noWrap/>
            <w:vAlign w:val="center"/>
            <w:hideMark/>
          </w:tcPr>
          <w:p w14:paraId="48F1A47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588" w:type="pct"/>
            <w:tcBorders>
              <w:top w:val="nil"/>
              <w:left w:val="nil"/>
              <w:bottom w:val="nil"/>
              <w:right w:val="nil"/>
            </w:tcBorders>
            <w:shd w:val="clear" w:color="auto" w:fill="auto"/>
            <w:noWrap/>
            <w:vAlign w:val="center"/>
            <w:hideMark/>
          </w:tcPr>
          <w:p w14:paraId="793E6F8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6B4A284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7.67*</w:t>
            </w:r>
          </w:p>
        </w:tc>
        <w:tc>
          <w:tcPr>
            <w:tcW w:w="734" w:type="pct"/>
            <w:tcBorders>
              <w:top w:val="nil"/>
              <w:left w:val="nil"/>
              <w:bottom w:val="nil"/>
              <w:right w:val="nil"/>
            </w:tcBorders>
            <w:shd w:val="clear" w:color="auto" w:fill="auto"/>
            <w:noWrap/>
            <w:vAlign w:val="center"/>
            <w:hideMark/>
          </w:tcPr>
          <w:p w14:paraId="16F8CEB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-0.30</w:t>
            </w:r>
          </w:p>
        </w:tc>
        <w:tc>
          <w:tcPr>
            <w:tcW w:w="561" w:type="pct"/>
            <w:tcBorders>
              <w:top w:val="nil"/>
              <w:left w:val="nil"/>
              <w:bottom w:val="nil"/>
              <w:right w:val="nil"/>
            </w:tcBorders>
            <w:shd w:val="clear" w:color="auto" w:fill="auto"/>
            <w:noWrap/>
            <w:vAlign w:val="center"/>
            <w:hideMark/>
          </w:tcPr>
          <w:p w14:paraId="62200E7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-19.50</w:t>
            </w:r>
          </w:p>
        </w:tc>
        <w:tc>
          <w:tcPr>
            <w:tcW w:w="343" w:type="pct"/>
            <w:tcBorders>
              <w:top w:val="nil"/>
              <w:left w:val="nil"/>
              <w:bottom w:val="nil"/>
              <w:right w:val="nil"/>
            </w:tcBorders>
            <w:shd w:val="clear" w:color="auto" w:fill="auto"/>
            <w:noWrap/>
            <w:vAlign w:val="center"/>
            <w:hideMark/>
          </w:tcPr>
          <w:p w14:paraId="02D8A57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0.74</w:t>
            </w:r>
          </w:p>
        </w:tc>
      </w:tr>
      <w:tr w:rsidR="00E37084" w:rsidRPr="00E37084" w14:paraId="5969E201" w14:textId="77777777" w:rsidTr="00EE68F9">
        <w:trPr>
          <w:trHeight w:val="300"/>
        </w:trPr>
        <w:tc>
          <w:tcPr>
            <w:tcW w:w="933" w:type="pct"/>
            <w:tcBorders>
              <w:top w:val="nil"/>
              <w:left w:val="nil"/>
              <w:bottom w:val="nil"/>
              <w:right w:val="nil"/>
            </w:tcBorders>
            <w:shd w:val="clear" w:color="auto" w:fill="auto"/>
            <w:noWrap/>
            <w:vAlign w:val="center"/>
            <w:hideMark/>
          </w:tcPr>
          <w:p w14:paraId="61F3688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51FE8B3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(0.06)</w:t>
            </w:r>
          </w:p>
        </w:tc>
        <w:tc>
          <w:tcPr>
            <w:tcW w:w="592" w:type="pct"/>
            <w:tcBorders>
              <w:top w:val="nil"/>
              <w:left w:val="nil"/>
              <w:bottom w:val="nil"/>
              <w:right w:val="nil"/>
            </w:tcBorders>
            <w:shd w:val="clear" w:color="auto" w:fill="auto"/>
            <w:noWrap/>
            <w:vAlign w:val="center"/>
            <w:hideMark/>
          </w:tcPr>
          <w:p w14:paraId="2D308ED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(0.06)</w:t>
            </w:r>
          </w:p>
        </w:tc>
        <w:tc>
          <w:tcPr>
            <w:tcW w:w="588" w:type="pct"/>
            <w:tcBorders>
              <w:top w:val="nil"/>
              <w:left w:val="nil"/>
              <w:bottom w:val="nil"/>
              <w:right w:val="nil"/>
            </w:tcBorders>
            <w:shd w:val="clear" w:color="auto" w:fill="auto"/>
            <w:noWrap/>
            <w:vAlign w:val="center"/>
            <w:hideMark/>
          </w:tcPr>
          <w:p w14:paraId="3AE45BE5"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65A623D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(0.03)</w:t>
            </w:r>
          </w:p>
        </w:tc>
        <w:tc>
          <w:tcPr>
            <w:tcW w:w="734" w:type="pct"/>
            <w:tcBorders>
              <w:top w:val="nil"/>
              <w:left w:val="nil"/>
              <w:bottom w:val="nil"/>
              <w:right w:val="nil"/>
            </w:tcBorders>
            <w:shd w:val="clear" w:color="auto" w:fill="auto"/>
            <w:noWrap/>
            <w:vAlign w:val="center"/>
            <w:hideMark/>
          </w:tcPr>
          <w:p w14:paraId="31BA3CD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561" w:type="pct"/>
            <w:tcBorders>
              <w:top w:val="nil"/>
              <w:left w:val="nil"/>
              <w:bottom w:val="nil"/>
              <w:right w:val="nil"/>
            </w:tcBorders>
            <w:shd w:val="clear" w:color="auto" w:fill="auto"/>
            <w:noWrap/>
            <w:vAlign w:val="center"/>
            <w:hideMark/>
          </w:tcPr>
          <w:p w14:paraId="50BD958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343" w:type="pct"/>
            <w:tcBorders>
              <w:top w:val="nil"/>
              <w:left w:val="nil"/>
              <w:bottom w:val="nil"/>
              <w:right w:val="nil"/>
            </w:tcBorders>
            <w:shd w:val="clear" w:color="auto" w:fill="auto"/>
            <w:noWrap/>
            <w:vAlign w:val="center"/>
            <w:hideMark/>
          </w:tcPr>
          <w:p w14:paraId="141DE1BE"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66BE5000" w14:textId="77777777" w:rsidTr="00EE68F9">
        <w:trPr>
          <w:trHeight w:val="300"/>
        </w:trPr>
        <w:tc>
          <w:tcPr>
            <w:tcW w:w="933" w:type="pct"/>
            <w:tcBorders>
              <w:top w:val="nil"/>
              <w:left w:val="nil"/>
              <w:bottom w:val="nil"/>
              <w:right w:val="nil"/>
            </w:tcBorders>
            <w:shd w:val="clear" w:color="auto" w:fill="auto"/>
            <w:noWrap/>
            <w:vAlign w:val="center"/>
            <w:hideMark/>
          </w:tcPr>
          <w:p w14:paraId="4E10321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595" w:type="pct"/>
            <w:tcBorders>
              <w:top w:val="nil"/>
              <w:left w:val="nil"/>
              <w:bottom w:val="nil"/>
              <w:right w:val="nil"/>
            </w:tcBorders>
            <w:shd w:val="clear" w:color="auto" w:fill="auto"/>
            <w:noWrap/>
            <w:vAlign w:val="center"/>
            <w:hideMark/>
          </w:tcPr>
          <w:p w14:paraId="5E5F054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2670.37*</w:t>
            </w:r>
          </w:p>
        </w:tc>
        <w:tc>
          <w:tcPr>
            <w:tcW w:w="592" w:type="pct"/>
            <w:tcBorders>
              <w:top w:val="nil"/>
              <w:left w:val="nil"/>
              <w:bottom w:val="nil"/>
              <w:right w:val="nil"/>
            </w:tcBorders>
            <w:shd w:val="clear" w:color="auto" w:fill="auto"/>
            <w:noWrap/>
            <w:vAlign w:val="center"/>
            <w:hideMark/>
          </w:tcPr>
          <w:p w14:paraId="7E5B76D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-1.10</w:t>
            </w:r>
          </w:p>
        </w:tc>
        <w:tc>
          <w:tcPr>
            <w:tcW w:w="588" w:type="pct"/>
            <w:tcBorders>
              <w:top w:val="nil"/>
              <w:left w:val="nil"/>
              <w:bottom w:val="nil"/>
              <w:right w:val="nil"/>
            </w:tcBorders>
            <w:shd w:val="clear" w:color="auto" w:fill="auto"/>
            <w:noWrap/>
            <w:vAlign w:val="center"/>
            <w:hideMark/>
          </w:tcPr>
          <w:p w14:paraId="15EA4F4D"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58F0FDEF"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304AA62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1.30</w:t>
            </w:r>
          </w:p>
        </w:tc>
        <w:tc>
          <w:tcPr>
            <w:tcW w:w="561" w:type="pct"/>
            <w:tcBorders>
              <w:top w:val="nil"/>
              <w:left w:val="nil"/>
              <w:bottom w:val="nil"/>
              <w:right w:val="nil"/>
            </w:tcBorders>
            <w:shd w:val="clear" w:color="auto" w:fill="auto"/>
            <w:noWrap/>
            <w:vAlign w:val="center"/>
            <w:hideMark/>
          </w:tcPr>
          <w:p w14:paraId="3AD5B27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-27.57</w:t>
            </w:r>
          </w:p>
        </w:tc>
        <w:tc>
          <w:tcPr>
            <w:tcW w:w="343" w:type="pct"/>
            <w:tcBorders>
              <w:top w:val="nil"/>
              <w:left w:val="nil"/>
              <w:bottom w:val="nil"/>
              <w:right w:val="nil"/>
            </w:tcBorders>
            <w:shd w:val="clear" w:color="auto" w:fill="auto"/>
            <w:noWrap/>
            <w:vAlign w:val="center"/>
            <w:hideMark/>
          </w:tcPr>
          <w:p w14:paraId="332D2A5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0.26</w:t>
            </w:r>
          </w:p>
        </w:tc>
      </w:tr>
      <w:tr w:rsidR="00E37084" w:rsidRPr="00E37084" w14:paraId="68E6D2BD" w14:textId="77777777" w:rsidTr="00EE68F9">
        <w:trPr>
          <w:trHeight w:val="300"/>
        </w:trPr>
        <w:tc>
          <w:tcPr>
            <w:tcW w:w="933" w:type="pct"/>
            <w:tcBorders>
              <w:top w:val="nil"/>
              <w:left w:val="nil"/>
              <w:bottom w:val="nil"/>
              <w:right w:val="nil"/>
            </w:tcBorders>
            <w:shd w:val="clear" w:color="auto" w:fill="auto"/>
            <w:noWrap/>
            <w:vAlign w:val="center"/>
            <w:hideMark/>
          </w:tcPr>
          <w:p w14:paraId="2E100EA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390E0F4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92" w:type="pct"/>
            <w:tcBorders>
              <w:top w:val="nil"/>
              <w:left w:val="nil"/>
              <w:bottom w:val="nil"/>
              <w:right w:val="nil"/>
            </w:tcBorders>
            <w:shd w:val="clear" w:color="auto" w:fill="auto"/>
            <w:noWrap/>
            <w:vAlign w:val="center"/>
            <w:hideMark/>
          </w:tcPr>
          <w:p w14:paraId="6B6CF9F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(0.43)</w:t>
            </w:r>
          </w:p>
        </w:tc>
        <w:tc>
          <w:tcPr>
            <w:tcW w:w="588" w:type="pct"/>
            <w:tcBorders>
              <w:top w:val="nil"/>
              <w:left w:val="nil"/>
              <w:bottom w:val="nil"/>
              <w:right w:val="nil"/>
            </w:tcBorders>
            <w:shd w:val="clear" w:color="auto" w:fill="auto"/>
            <w:noWrap/>
            <w:vAlign w:val="center"/>
            <w:hideMark/>
          </w:tcPr>
          <w:p w14:paraId="4EBF985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2744CA7B"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151887F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(0.47)</w:t>
            </w:r>
          </w:p>
        </w:tc>
        <w:tc>
          <w:tcPr>
            <w:tcW w:w="561" w:type="pct"/>
            <w:tcBorders>
              <w:top w:val="nil"/>
              <w:left w:val="nil"/>
              <w:bottom w:val="nil"/>
              <w:right w:val="nil"/>
            </w:tcBorders>
            <w:shd w:val="clear" w:color="auto" w:fill="auto"/>
            <w:noWrap/>
            <w:vAlign w:val="center"/>
            <w:hideMark/>
          </w:tcPr>
          <w:p w14:paraId="692583F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(0.73)</w:t>
            </w:r>
          </w:p>
        </w:tc>
        <w:tc>
          <w:tcPr>
            <w:tcW w:w="343" w:type="pct"/>
            <w:tcBorders>
              <w:top w:val="nil"/>
              <w:left w:val="nil"/>
              <w:bottom w:val="nil"/>
              <w:right w:val="nil"/>
            </w:tcBorders>
            <w:shd w:val="clear" w:color="auto" w:fill="auto"/>
            <w:noWrap/>
            <w:vAlign w:val="center"/>
            <w:hideMark/>
          </w:tcPr>
          <w:p w14:paraId="5F44AE7D"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0CA21A5" w14:textId="77777777" w:rsidTr="00EE68F9">
        <w:trPr>
          <w:trHeight w:val="300"/>
        </w:trPr>
        <w:tc>
          <w:tcPr>
            <w:tcW w:w="933" w:type="pct"/>
            <w:tcBorders>
              <w:top w:val="nil"/>
              <w:left w:val="nil"/>
              <w:bottom w:val="nil"/>
              <w:right w:val="nil"/>
            </w:tcBorders>
            <w:shd w:val="clear" w:color="auto" w:fill="auto"/>
            <w:noWrap/>
            <w:vAlign w:val="center"/>
            <w:hideMark/>
          </w:tcPr>
          <w:p w14:paraId="7A2F9AFC"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595" w:type="pct"/>
            <w:tcBorders>
              <w:top w:val="nil"/>
              <w:left w:val="nil"/>
              <w:bottom w:val="nil"/>
              <w:right w:val="nil"/>
            </w:tcBorders>
            <w:shd w:val="clear" w:color="auto" w:fill="auto"/>
            <w:noWrap/>
            <w:vAlign w:val="center"/>
            <w:hideMark/>
          </w:tcPr>
          <w:p w14:paraId="0F59BF3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202.84</w:t>
            </w:r>
          </w:p>
        </w:tc>
        <w:tc>
          <w:tcPr>
            <w:tcW w:w="592" w:type="pct"/>
            <w:tcBorders>
              <w:top w:val="nil"/>
              <w:left w:val="nil"/>
              <w:bottom w:val="nil"/>
              <w:right w:val="nil"/>
            </w:tcBorders>
            <w:shd w:val="clear" w:color="auto" w:fill="auto"/>
            <w:noWrap/>
            <w:vAlign w:val="center"/>
            <w:hideMark/>
          </w:tcPr>
          <w:p w14:paraId="0108883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-3.96*</w:t>
            </w:r>
          </w:p>
        </w:tc>
        <w:tc>
          <w:tcPr>
            <w:tcW w:w="588" w:type="pct"/>
            <w:tcBorders>
              <w:top w:val="nil"/>
              <w:left w:val="nil"/>
              <w:bottom w:val="nil"/>
              <w:right w:val="nil"/>
            </w:tcBorders>
            <w:shd w:val="clear" w:color="auto" w:fill="auto"/>
            <w:noWrap/>
            <w:vAlign w:val="center"/>
            <w:hideMark/>
          </w:tcPr>
          <w:p w14:paraId="3F5DFEB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17.55</w:t>
            </w:r>
          </w:p>
        </w:tc>
        <w:tc>
          <w:tcPr>
            <w:tcW w:w="654" w:type="pct"/>
            <w:tcBorders>
              <w:top w:val="nil"/>
              <w:left w:val="nil"/>
              <w:bottom w:val="nil"/>
              <w:right w:val="nil"/>
            </w:tcBorders>
            <w:shd w:val="clear" w:color="auto" w:fill="auto"/>
            <w:noWrap/>
            <w:vAlign w:val="center"/>
            <w:hideMark/>
          </w:tcPr>
          <w:p w14:paraId="1401ABC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1F284C9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-2.61</w:t>
            </w:r>
          </w:p>
        </w:tc>
        <w:tc>
          <w:tcPr>
            <w:tcW w:w="561" w:type="pct"/>
            <w:tcBorders>
              <w:top w:val="nil"/>
              <w:left w:val="nil"/>
              <w:bottom w:val="nil"/>
              <w:right w:val="nil"/>
            </w:tcBorders>
            <w:shd w:val="clear" w:color="auto" w:fill="auto"/>
            <w:noWrap/>
            <w:vAlign w:val="center"/>
            <w:hideMark/>
          </w:tcPr>
          <w:p w14:paraId="680FC98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46.79</w:t>
            </w:r>
          </w:p>
        </w:tc>
        <w:tc>
          <w:tcPr>
            <w:tcW w:w="343" w:type="pct"/>
            <w:tcBorders>
              <w:top w:val="nil"/>
              <w:left w:val="nil"/>
              <w:bottom w:val="nil"/>
              <w:right w:val="nil"/>
            </w:tcBorders>
            <w:shd w:val="clear" w:color="auto" w:fill="auto"/>
            <w:noWrap/>
            <w:vAlign w:val="center"/>
            <w:hideMark/>
          </w:tcPr>
          <w:p w14:paraId="40B3E7A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0.79</w:t>
            </w:r>
          </w:p>
        </w:tc>
      </w:tr>
      <w:tr w:rsidR="00E37084" w:rsidRPr="00E37084" w14:paraId="540E5871" w14:textId="77777777" w:rsidTr="00EE68F9">
        <w:trPr>
          <w:trHeight w:val="300"/>
        </w:trPr>
        <w:tc>
          <w:tcPr>
            <w:tcW w:w="933" w:type="pct"/>
            <w:tcBorders>
              <w:top w:val="nil"/>
              <w:left w:val="nil"/>
              <w:bottom w:val="nil"/>
              <w:right w:val="nil"/>
            </w:tcBorders>
            <w:shd w:val="clear" w:color="auto" w:fill="auto"/>
            <w:noWrap/>
            <w:vAlign w:val="center"/>
            <w:hideMark/>
          </w:tcPr>
          <w:p w14:paraId="7579911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53BF99C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(0.89)</w:t>
            </w:r>
          </w:p>
        </w:tc>
        <w:tc>
          <w:tcPr>
            <w:tcW w:w="592" w:type="pct"/>
            <w:tcBorders>
              <w:top w:val="nil"/>
              <w:left w:val="nil"/>
              <w:bottom w:val="nil"/>
              <w:right w:val="nil"/>
            </w:tcBorders>
            <w:shd w:val="clear" w:color="auto" w:fill="auto"/>
            <w:noWrap/>
            <w:vAlign w:val="center"/>
            <w:hideMark/>
          </w:tcPr>
          <w:p w14:paraId="787C899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88" w:type="pct"/>
            <w:tcBorders>
              <w:top w:val="nil"/>
              <w:left w:val="nil"/>
              <w:bottom w:val="nil"/>
              <w:right w:val="nil"/>
            </w:tcBorders>
            <w:shd w:val="clear" w:color="auto" w:fill="auto"/>
            <w:noWrap/>
            <w:vAlign w:val="center"/>
            <w:hideMark/>
          </w:tcPr>
          <w:p w14:paraId="5CB8500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654" w:type="pct"/>
            <w:tcBorders>
              <w:top w:val="nil"/>
              <w:left w:val="nil"/>
              <w:bottom w:val="nil"/>
              <w:right w:val="nil"/>
            </w:tcBorders>
            <w:shd w:val="clear" w:color="auto" w:fill="auto"/>
            <w:noWrap/>
            <w:vAlign w:val="center"/>
            <w:hideMark/>
          </w:tcPr>
          <w:p w14:paraId="25E42B6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3D6149E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561" w:type="pct"/>
            <w:tcBorders>
              <w:top w:val="nil"/>
              <w:left w:val="nil"/>
              <w:bottom w:val="nil"/>
              <w:right w:val="nil"/>
            </w:tcBorders>
            <w:shd w:val="clear" w:color="auto" w:fill="auto"/>
            <w:noWrap/>
            <w:vAlign w:val="center"/>
            <w:hideMark/>
          </w:tcPr>
          <w:p w14:paraId="585E2EE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(0.62)</w:t>
            </w:r>
          </w:p>
        </w:tc>
        <w:tc>
          <w:tcPr>
            <w:tcW w:w="343" w:type="pct"/>
            <w:tcBorders>
              <w:top w:val="nil"/>
              <w:left w:val="nil"/>
              <w:bottom w:val="nil"/>
              <w:right w:val="nil"/>
            </w:tcBorders>
            <w:shd w:val="clear" w:color="auto" w:fill="auto"/>
            <w:noWrap/>
            <w:vAlign w:val="center"/>
            <w:hideMark/>
          </w:tcPr>
          <w:p w14:paraId="303A9FB9"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F3307D3" w14:textId="77777777" w:rsidTr="00EE68F9">
        <w:trPr>
          <w:trHeight w:val="300"/>
        </w:trPr>
        <w:tc>
          <w:tcPr>
            <w:tcW w:w="933" w:type="pct"/>
            <w:tcBorders>
              <w:top w:val="nil"/>
              <w:left w:val="nil"/>
              <w:bottom w:val="nil"/>
              <w:right w:val="nil"/>
            </w:tcBorders>
            <w:shd w:val="clear" w:color="auto" w:fill="auto"/>
            <w:noWrap/>
            <w:vAlign w:val="center"/>
            <w:hideMark/>
          </w:tcPr>
          <w:p w14:paraId="4563D7E5"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595" w:type="pct"/>
            <w:tcBorders>
              <w:top w:val="nil"/>
              <w:left w:val="nil"/>
              <w:bottom w:val="nil"/>
              <w:right w:val="nil"/>
            </w:tcBorders>
            <w:shd w:val="clear" w:color="auto" w:fill="auto"/>
            <w:noWrap/>
            <w:vAlign w:val="center"/>
            <w:hideMark/>
          </w:tcPr>
          <w:p w14:paraId="225E34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874.27</w:t>
            </w:r>
          </w:p>
        </w:tc>
        <w:tc>
          <w:tcPr>
            <w:tcW w:w="592" w:type="pct"/>
            <w:tcBorders>
              <w:top w:val="nil"/>
              <w:left w:val="nil"/>
              <w:bottom w:val="nil"/>
              <w:right w:val="nil"/>
            </w:tcBorders>
            <w:shd w:val="clear" w:color="auto" w:fill="auto"/>
            <w:noWrap/>
            <w:vAlign w:val="center"/>
            <w:hideMark/>
          </w:tcPr>
          <w:p w14:paraId="131C505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-14.31</w:t>
            </w:r>
          </w:p>
        </w:tc>
        <w:tc>
          <w:tcPr>
            <w:tcW w:w="588" w:type="pct"/>
            <w:tcBorders>
              <w:top w:val="nil"/>
              <w:left w:val="nil"/>
              <w:bottom w:val="nil"/>
              <w:right w:val="nil"/>
            </w:tcBorders>
            <w:shd w:val="clear" w:color="auto" w:fill="auto"/>
            <w:noWrap/>
            <w:vAlign w:val="center"/>
            <w:hideMark/>
          </w:tcPr>
          <w:p w14:paraId="40424E4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70.98</w:t>
            </w:r>
          </w:p>
        </w:tc>
        <w:tc>
          <w:tcPr>
            <w:tcW w:w="654" w:type="pct"/>
            <w:tcBorders>
              <w:top w:val="nil"/>
              <w:left w:val="nil"/>
              <w:bottom w:val="nil"/>
              <w:right w:val="nil"/>
            </w:tcBorders>
            <w:shd w:val="clear" w:color="auto" w:fill="auto"/>
            <w:noWrap/>
            <w:vAlign w:val="center"/>
            <w:hideMark/>
          </w:tcPr>
          <w:p w14:paraId="4AC2CB1F"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2DF7345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-11.23</w:t>
            </w:r>
          </w:p>
        </w:tc>
        <w:tc>
          <w:tcPr>
            <w:tcW w:w="561" w:type="pct"/>
            <w:tcBorders>
              <w:top w:val="nil"/>
              <w:left w:val="nil"/>
              <w:bottom w:val="nil"/>
              <w:right w:val="nil"/>
            </w:tcBorders>
            <w:shd w:val="clear" w:color="auto" w:fill="auto"/>
            <w:noWrap/>
            <w:vAlign w:val="center"/>
            <w:hideMark/>
          </w:tcPr>
          <w:p w14:paraId="7FA08DE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560.33</w:t>
            </w:r>
          </w:p>
        </w:tc>
        <w:tc>
          <w:tcPr>
            <w:tcW w:w="343" w:type="pct"/>
            <w:tcBorders>
              <w:top w:val="nil"/>
              <w:left w:val="nil"/>
              <w:bottom w:val="nil"/>
              <w:right w:val="nil"/>
            </w:tcBorders>
            <w:shd w:val="clear" w:color="auto" w:fill="auto"/>
            <w:noWrap/>
            <w:vAlign w:val="center"/>
            <w:hideMark/>
          </w:tcPr>
          <w:p w14:paraId="4D71BB8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0.65</w:t>
            </w:r>
          </w:p>
        </w:tc>
      </w:tr>
      <w:tr w:rsidR="00E37084" w:rsidRPr="00E37084" w14:paraId="7EBD7ABE" w14:textId="77777777" w:rsidTr="00EE68F9">
        <w:trPr>
          <w:trHeight w:val="300"/>
        </w:trPr>
        <w:tc>
          <w:tcPr>
            <w:tcW w:w="933" w:type="pct"/>
            <w:tcBorders>
              <w:top w:val="nil"/>
              <w:left w:val="nil"/>
              <w:bottom w:val="nil"/>
              <w:right w:val="nil"/>
            </w:tcBorders>
            <w:shd w:val="clear" w:color="auto" w:fill="auto"/>
            <w:noWrap/>
            <w:vAlign w:val="center"/>
            <w:hideMark/>
          </w:tcPr>
          <w:p w14:paraId="03BFF9D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76DFFB2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(0.93)</w:t>
            </w:r>
          </w:p>
        </w:tc>
        <w:tc>
          <w:tcPr>
            <w:tcW w:w="592" w:type="pct"/>
            <w:tcBorders>
              <w:top w:val="nil"/>
              <w:left w:val="nil"/>
              <w:bottom w:val="nil"/>
              <w:right w:val="nil"/>
            </w:tcBorders>
            <w:shd w:val="clear" w:color="auto" w:fill="auto"/>
            <w:noWrap/>
            <w:vAlign w:val="center"/>
            <w:hideMark/>
          </w:tcPr>
          <w:p w14:paraId="09B1F4E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(0.25)</w:t>
            </w:r>
          </w:p>
        </w:tc>
        <w:tc>
          <w:tcPr>
            <w:tcW w:w="588" w:type="pct"/>
            <w:tcBorders>
              <w:top w:val="nil"/>
              <w:left w:val="nil"/>
              <w:bottom w:val="nil"/>
              <w:right w:val="nil"/>
            </w:tcBorders>
            <w:shd w:val="clear" w:color="auto" w:fill="auto"/>
            <w:noWrap/>
            <w:vAlign w:val="center"/>
            <w:hideMark/>
          </w:tcPr>
          <w:p w14:paraId="0B0D52E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(0.46)</w:t>
            </w:r>
          </w:p>
        </w:tc>
        <w:tc>
          <w:tcPr>
            <w:tcW w:w="654" w:type="pct"/>
            <w:tcBorders>
              <w:top w:val="nil"/>
              <w:left w:val="nil"/>
              <w:bottom w:val="nil"/>
              <w:right w:val="nil"/>
            </w:tcBorders>
            <w:shd w:val="clear" w:color="auto" w:fill="auto"/>
            <w:noWrap/>
            <w:vAlign w:val="center"/>
            <w:hideMark/>
          </w:tcPr>
          <w:p w14:paraId="193253F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3ACC01B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(0.32)</w:t>
            </w:r>
          </w:p>
        </w:tc>
        <w:tc>
          <w:tcPr>
            <w:tcW w:w="561" w:type="pct"/>
            <w:tcBorders>
              <w:top w:val="nil"/>
              <w:left w:val="nil"/>
              <w:bottom w:val="nil"/>
              <w:right w:val="nil"/>
            </w:tcBorders>
            <w:shd w:val="clear" w:color="auto" w:fill="auto"/>
            <w:noWrap/>
            <w:vAlign w:val="center"/>
            <w:hideMark/>
          </w:tcPr>
          <w:p w14:paraId="3F6AEBA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(0.42)</w:t>
            </w:r>
          </w:p>
        </w:tc>
        <w:tc>
          <w:tcPr>
            <w:tcW w:w="343" w:type="pct"/>
            <w:tcBorders>
              <w:top w:val="nil"/>
              <w:left w:val="nil"/>
              <w:bottom w:val="nil"/>
              <w:right w:val="nil"/>
            </w:tcBorders>
            <w:shd w:val="clear" w:color="auto" w:fill="auto"/>
            <w:noWrap/>
            <w:vAlign w:val="center"/>
            <w:hideMark/>
          </w:tcPr>
          <w:p w14:paraId="03DE35AA"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7F16D849" w14:textId="77777777" w:rsidTr="00EE68F9">
        <w:trPr>
          <w:trHeight w:val="300"/>
        </w:trPr>
        <w:tc>
          <w:tcPr>
            <w:tcW w:w="933" w:type="pct"/>
            <w:tcBorders>
              <w:top w:val="nil"/>
              <w:left w:val="nil"/>
              <w:bottom w:val="nil"/>
              <w:right w:val="nil"/>
            </w:tcBorders>
            <w:shd w:val="clear" w:color="auto" w:fill="auto"/>
            <w:noWrap/>
            <w:vAlign w:val="center"/>
            <w:hideMark/>
          </w:tcPr>
          <w:p w14:paraId="461ACFDF"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595" w:type="pct"/>
            <w:tcBorders>
              <w:top w:val="nil"/>
              <w:left w:val="nil"/>
              <w:bottom w:val="nil"/>
              <w:right w:val="nil"/>
            </w:tcBorders>
            <w:shd w:val="clear" w:color="auto" w:fill="auto"/>
            <w:noWrap/>
            <w:vAlign w:val="center"/>
            <w:hideMark/>
          </w:tcPr>
          <w:p w14:paraId="0DA579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-350.08</w:t>
            </w:r>
          </w:p>
        </w:tc>
        <w:tc>
          <w:tcPr>
            <w:tcW w:w="592" w:type="pct"/>
            <w:tcBorders>
              <w:top w:val="nil"/>
              <w:left w:val="nil"/>
              <w:bottom w:val="nil"/>
              <w:right w:val="nil"/>
            </w:tcBorders>
            <w:shd w:val="clear" w:color="auto" w:fill="auto"/>
            <w:noWrap/>
            <w:vAlign w:val="center"/>
            <w:hideMark/>
          </w:tcPr>
          <w:p w14:paraId="203E748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-2.05</w:t>
            </w:r>
          </w:p>
        </w:tc>
        <w:tc>
          <w:tcPr>
            <w:tcW w:w="588" w:type="pct"/>
            <w:tcBorders>
              <w:top w:val="nil"/>
              <w:left w:val="nil"/>
              <w:bottom w:val="nil"/>
              <w:right w:val="nil"/>
            </w:tcBorders>
            <w:shd w:val="clear" w:color="auto" w:fill="auto"/>
            <w:noWrap/>
            <w:vAlign w:val="center"/>
            <w:hideMark/>
          </w:tcPr>
          <w:p w14:paraId="17085A3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13.74</w:t>
            </w:r>
          </w:p>
        </w:tc>
        <w:tc>
          <w:tcPr>
            <w:tcW w:w="654" w:type="pct"/>
            <w:tcBorders>
              <w:top w:val="nil"/>
              <w:left w:val="nil"/>
              <w:bottom w:val="nil"/>
              <w:right w:val="nil"/>
            </w:tcBorders>
            <w:shd w:val="clear" w:color="auto" w:fill="auto"/>
            <w:noWrap/>
            <w:vAlign w:val="center"/>
            <w:hideMark/>
          </w:tcPr>
          <w:p w14:paraId="3679082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5C39BD4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-1.56</w:t>
            </w:r>
          </w:p>
        </w:tc>
        <w:tc>
          <w:tcPr>
            <w:tcW w:w="561" w:type="pct"/>
            <w:tcBorders>
              <w:top w:val="nil"/>
              <w:left w:val="nil"/>
              <w:bottom w:val="nil"/>
              <w:right w:val="nil"/>
            </w:tcBorders>
            <w:shd w:val="clear" w:color="auto" w:fill="auto"/>
            <w:noWrap/>
            <w:vAlign w:val="center"/>
            <w:hideMark/>
          </w:tcPr>
          <w:p w14:paraId="2E1ECD6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1.70</w:t>
            </w:r>
          </w:p>
        </w:tc>
        <w:tc>
          <w:tcPr>
            <w:tcW w:w="343" w:type="pct"/>
            <w:tcBorders>
              <w:top w:val="nil"/>
              <w:left w:val="nil"/>
              <w:bottom w:val="nil"/>
              <w:right w:val="nil"/>
            </w:tcBorders>
            <w:shd w:val="clear" w:color="auto" w:fill="auto"/>
            <w:noWrap/>
            <w:vAlign w:val="center"/>
            <w:hideMark/>
          </w:tcPr>
          <w:p w14:paraId="6EBA608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0.67</w:t>
            </w:r>
          </w:p>
        </w:tc>
      </w:tr>
      <w:tr w:rsidR="00E37084" w:rsidRPr="00E37084" w14:paraId="610DB66A" w14:textId="77777777" w:rsidTr="00EE68F9">
        <w:trPr>
          <w:trHeight w:val="300"/>
        </w:trPr>
        <w:tc>
          <w:tcPr>
            <w:tcW w:w="933" w:type="pct"/>
            <w:tcBorders>
              <w:top w:val="nil"/>
              <w:left w:val="nil"/>
              <w:bottom w:val="nil"/>
              <w:right w:val="nil"/>
            </w:tcBorders>
            <w:shd w:val="clear" w:color="auto" w:fill="auto"/>
            <w:noWrap/>
            <w:vAlign w:val="center"/>
            <w:hideMark/>
          </w:tcPr>
          <w:p w14:paraId="2A746B6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4F49CE4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(0.85)</w:t>
            </w:r>
          </w:p>
        </w:tc>
        <w:tc>
          <w:tcPr>
            <w:tcW w:w="592" w:type="pct"/>
            <w:tcBorders>
              <w:top w:val="nil"/>
              <w:left w:val="nil"/>
              <w:bottom w:val="nil"/>
              <w:right w:val="nil"/>
            </w:tcBorders>
            <w:shd w:val="clear" w:color="auto" w:fill="auto"/>
            <w:noWrap/>
            <w:vAlign w:val="center"/>
            <w:hideMark/>
          </w:tcPr>
          <w:p w14:paraId="5D7C1F1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(0.07)</w:t>
            </w:r>
          </w:p>
        </w:tc>
        <w:tc>
          <w:tcPr>
            <w:tcW w:w="588" w:type="pct"/>
            <w:tcBorders>
              <w:top w:val="nil"/>
              <w:left w:val="nil"/>
              <w:bottom w:val="nil"/>
              <w:right w:val="nil"/>
            </w:tcBorders>
            <w:shd w:val="clear" w:color="auto" w:fill="auto"/>
            <w:noWrap/>
            <w:vAlign w:val="center"/>
            <w:hideMark/>
          </w:tcPr>
          <w:p w14:paraId="7DC0806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(0.44)</w:t>
            </w:r>
          </w:p>
        </w:tc>
        <w:tc>
          <w:tcPr>
            <w:tcW w:w="654" w:type="pct"/>
            <w:tcBorders>
              <w:top w:val="nil"/>
              <w:left w:val="nil"/>
              <w:bottom w:val="nil"/>
              <w:right w:val="nil"/>
            </w:tcBorders>
            <w:shd w:val="clear" w:color="auto" w:fill="auto"/>
            <w:noWrap/>
            <w:vAlign w:val="center"/>
            <w:hideMark/>
          </w:tcPr>
          <w:p w14:paraId="5D0AD63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03C9044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(0.14)</w:t>
            </w:r>
          </w:p>
        </w:tc>
        <w:tc>
          <w:tcPr>
            <w:tcW w:w="561" w:type="pct"/>
            <w:tcBorders>
              <w:top w:val="nil"/>
              <w:left w:val="nil"/>
              <w:bottom w:val="nil"/>
              <w:right w:val="nil"/>
            </w:tcBorders>
            <w:shd w:val="clear" w:color="auto" w:fill="auto"/>
            <w:noWrap/>
            <w:vAlign w:val="center"/>
            <w:hideMark/>
          </w:tcPr>
          <w:p w14:paraId="51B5DAC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(0.98)</w:t>
            </w:r>
          </w:p>
        </w:tc>
        <w:tc>
          <w:tcPr>
            <w:tcW w:w="343" w:type="pct"/>
            <w:tcBorders>
              <w:top w:val="nil"/>
              <w:left w:val="nil"/>
              <w:bottom w:val="nil"/>
              <w:right w:val="nil"/>
            </w:tcBorders>
            <w:shd w:val="clear" w:color="auto" w:fill="auto"/>
            <w:noWrap/>
            <w:vAlign w:val="center"/>
            <w:hideMark/>
          </w:tcPr>
          <w:p w14:paraId="4896ECF8"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E9793F1" w14:textId="77777777" w:rsidTr="00EE68F9">
        <w:trPr>
          <w:trHeight w:val="300"/>
        </w:trPr>
        <w:tc>
          <w:tcPr>
            <w:tcW w:w="933" w:type="pct"/>
            <w:tcBorders>
              <w:top w:val="nil"/>
              <w:left w:val="nil"/>
              <w:bottom w:val="nil"/>
              <w:right w:val="nil"/>
            </w:tcBorders>
            <w:shd w:val="clear" w:color="auto" w:fill="auto"/>
            <w:noWrap/>
            <w:vAlign w:val="center"/>
            <w:hideMark/>
          </w:tcPr>
          <w:p w14:paraId="661BF5E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595" w:type="pct"/>
            <w:tcBorders>
              <w:top w:val="nil"/>
              <w:left w:val="nil"/>
              <w:bottom w:val="nil"/>
              <w:right w:val="nil"/>
            </w:tcBorders>
            <w:shd w:val="clear" w:color="auto" w:fill="auto"/>
            <w:noWrap/>
            <w:vAlign w:val="center"/>
            <w:hideMark/>
          </w:tcPr>
          <w:p w14:paraId="59B62A6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89631.8*</w:t>
            </w:r>
          </w:p>
        </w:tc>
        <w:tc>
          <w:tcPr>
            <w:tcW w:w="592" w:type="pct"/>
            <w:tcBorders>
              <w:top w:val="nil"/>
              <w:left w:val="nil"/>
              <w:bottom w:val="nil"/>
              <w:right w:val="nil"/>
            </w:tcBorders>
            <w:shd w:val="clear" w:color="auto" w:fill="auto"/>
            <w:noWrap/>
            <w:vAlign w:val="center"/>
            <w:hideMark/>
          </w:tcPr>
          <w:p w14:paraId="3C85E98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-90.22*</w:t>
            </w:r>
          </w:p>
        </w:tc>
        <w:tc>
          <w:tcPr>
            <w:tcW w:w="588" w:type="pct"/>
            <w:tcBorders>
              <w:top w:val="nil"/>
              <w:left w:val="nil"/>
              <w:bottom w:val="nil"/>
              <w:right w:val="nil"/>
            </w:tcBorders>
            <w:shd w:val="clear" w:color="auto" w:fill="auto"/>
            <w:noWrap/>
            <w:vAlign w:val="center"/>
            <w:hideMark/>
          </w:tcPr>
          <w:p w14:paraId="785C51F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08C0F827"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6DFCA30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-72.04*</w:t>
            </w:r>
          </w:p>
        </w:tc>
        <w:tc>
          <w:tcPr>
            <w:tcW w:w="561" w:type="pct"/>
            <w:tcBorders>
              <w:top w:val="nil"/>
              <w:left w:val="nil"/>
              <w:bottom w:val="nil"/>
              <w:right w:val="nil"/>
            </w:tcBorders>
            <w:shd w:val="clear" w:color="auto" w:fill="auto"/>
            <w:noWrap/>
            <w:vAlign w:val="center"/>
            <w:hideMark/>
          </w:tcPr>
          <w:p w14:paraId="1007C3A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-31.70</w:t>
            </w:r>
          </w:p>
        </w:tc>
        <w:tc>
          <w:tcPr>
            <w:tcW w:w="343" w:type="pct"/>
            <w:tcBorders>
              <w:top w:val="nil"/>
              <w:left w:val="nil"/>
              <w:bottom w:val="nil"/>
              <w:right w:val="nil"/>
            </w:tcBorders>
            <w:shd w:val="clear" w:color="auto" w:fill="auto"/>
            <w:noWrap/>
            <w:vAlign w:val="center"/>
            <w:hideMark/>
          </w:tcPr>
          <w:p w14:paraId="14E98B7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0.93</w:t>
            </w:r>
          </w:p>
        </w:tc>
      </w:tr>
      <w:tr w:rsidR="00E37084" w:rsidRPr="00E37084" w14:paraId="22EF858C" w14:textId="77777777" w:rsidTr="00EE68F9">
        <w:trPr>
          <w:trHeight w:val="300"/>
        </w:trPr>
        <w:tc>
          <w:tcPr>
            <w:tcW w:w="933" w:type="pct"/>
            <w:tcBorders>
              <w:top w:val="nil"/>
              <w:left w:val="nil"/>
              <w:bottom w:val="nil"/>
              <w:right w:val="nil"/>
            </w:tcBorders>
            <w:shd w:val="clear" w:color="auto" w:fill="auto"/>
            <w:noWrap/>
            <w:vAlign w:val="center"/>
            <w:hideMark/>
          </w:tcPr>
          <w:p w14:paraId="7813643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1AF929EA" w14:textId="366E0723" w:rsidR="00E37084" w:rsidRPr="00E37084" w:rsidRDefault="00E37084" w:rsidP="00E37084">
            <w:pPr>
              <w:spacing w:after="0" w:line="240" w:lineRule="auto"/>
              <w:jc w:val="right"/>
              <w:rPr>
                <w:rFonts w:eastAsia="Times New Roman"/>
                <w:color w:val="000000"/>
                <w:sz w:val="19"/>
                <w:szCs w:val="19"/>
                <w:lang w:eastAsia="en-AU"/>
              </w:rPr>
            </w:pPr>
            <w:r>
              <w:rPr>
                <w:rFonts w:eastAsia="Times New Roman"/>
                <w:color w:val="000000"/>
                <w:sz w:val="19"/>
                <w:szCs w:val="19"/>
                <w:lang w:eastAsia="en-AU"/>
              </w:rPr>
              <w:t>(0.00)</w:t>
            </w:r>
          </w:p>
        </w:tc>
        <w:tc>
          <w:tcPr>
            <w:tcW w:w="592" w:type="pct"/>
            <w:tcBorders>
              <w:top w:val="nil"/>
              <w:left w:val="nil"/>
              <w:bottom w:val="nil"/>
              <w:right w:val="nil"/>
            </w:tcBorders>
            <w:shd w:val="clear" w:color="auto" w:fill="auto"/>
            <w:noWrap/>
            <w:vAlign w:val="center"/>
            <w:hideMark/>
          </w:tcPr>
          <w:p w14:paraId="63C9C0DC" w14:textId="42B5E4BA" w:rsidR="00E37084" w:rsidRPr="00E37084" w:rsidRDefault="00E37084" w:rsidP="00E37084">
            <w:pPr>
              <w:spacing w:after="0" w:line="240" w:lineRule="auto"/>
              <w:jc w:val="right"/>
              <w:rPr>
                <w:rFonts w:eastAsia="Times New Roman"/>
                <w:color w:val="000000"/>
                <w:sz w:val="19"/>
                <w:szCs w:val="19"/>
                <w:lang w:eastAsia="en-AU"/>
              </w:rPr>
            </w:pPr>
            <w:r>
              <w:rPr>
                <w:rFonts w:eastAsia="Times New Roman"/>
                <w:color w:val="000000"/>
                <w:sz w:val="19"/>
                <w:szCs w:val="19"/>
                <w:lang w:eastAsia="en-AU"/>
              </w:rPr>
              <w:t>(0.00)</w:t>
            </w:r>
          </w:p>
        </w:tc>
        <w:tc>
          <w:tcPr>
            <w:tcW w:w="588" w:type="pct"/>
            <w:tcBorders>
              <w:top w:val="nil"/>
              <w:left w:val="nil"/>
              <w:bottom w:val="nil"/>
              <w:right w:val="nil"/>
            </w:tcBorders>
            <w:shd w:val="clear" w:color="auto" w:fill="auto"/>
            <w:noWrap/>
            <w:vAlign w:val="center"/>
            <w:hideMark/>
          </w:tcPr>
          <w:p w14:paraId="4DF8A35E"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54" w:type="pct"/>
            <w:tcBorders>
              <w:top w:val="nil"/>
              <w:left w:val="nil"/>
              <w:bottom w:val="nil"/>
              <w:right w:val="nil"/>
            </w:tcBorders>
            <w:shd w:val="clear" w:color="auto" w:fill="auto"/>
            <w:noWrap/>
            <w:vAlign w:val="center"/>
            <w:hideMark/>
          </w:tcPr>
          <w:p w14:paraId="56A0391E"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5BBC2A4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61" w:type="pct"/>
            <w:tcBorders>
              <w:top w:val="nil"/>
              <w:left w:val="nil"/>
              <w:bottom w:val="nil"/>
              <w:right w:val="nil"/>
            </w:tcBorders>
            <w:shd w:val="clear" w:color="auto" w:fill="auto"/>
            <w:noWrap/>
            <w:vAlign w:val="center"/>
            <w:hideMark/>
          </w:tcPr>
          <w:p w14:paraId="5CAF0C0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(0.96)</w:t>
            </w:r>
          </w:p>
        </w:tc>
        <w:tc>
          <w:tcPr>
            <w:tcW w:w="343" w:type="pct"/>
            <w:tcBorders>
              <w:top w:val="nil"/>
              <w:left w:val="nil"/>
              <w:bottom w:val="nil"/>
              <w:right w:val="nil"/>
            </w:tcBorders>
            <w:shd w:val="clear" w:color="auto" w:fill="auto"/>
            <w:noWrap/>
            <w:vAlign w:val="center"/>
            <w:hideMark/>
          </w:tcPr>
          <w:p w14:paraId="426E779C"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F3AF131" w14:textId="77777777" w:rsidTr="00EE68F9">
        <w:trPr>
          <w:trHeight w:val="300"/>
        </w:trPr>
        <w:tc>
          <w:tcPr>
            <w:tcW w:w="933" w:type="pct"/>
            <w:tcBorders>
              <w:top w:val="nil"/>
              <w:left w:val="nil"/>
              <w:bottom w:val="nil"/>
              <w:right w:val="nil"/>
            </w:tcBorders>
            <w:shd w:val="clear" w:color="auto" w:fill="auto"/>
            <w:noWrap/>
            <w:vAlign w:val="center"/>
            <w:hideMark/>
          </w:tcPr>
          <w:p w14:paraId="59E31896"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595" w:type="pct"/>
            <w:tcBorders>
              <w:top w:val="nil"/>
              <w:left w:val="nil"/>
              <w:bottom w:val="nil"/>
              <w:right w:val="nil"/>
            </w:tcBorders>
            <w:shd w:val="clear" w:color="auto" w:fill="auto"/>
            <w:noWrap/>
            <w:vAlign w:val="center"/>
            <w:hideMark/>
          </w:tcPr>
          <w:p w14:paraId="78330C5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2250.72</w:t>
            </w:r>
          </w:p>
        </w:tc>
        <w:tc>
          <w:tcPr>
            <w:tcW w:w="592" w:type="pct"/>
            <w:tcBorders>
              <w:top w:val="nil"/>
              <w:left w:val="nil"/>
              <w:bottom w:val="nil"/>
              <w:right w:val="nil"/>
            </w:tcBorders>
            <w:shd w:val="clear" w:color="auto" w:fill="auto"/>
            <w:noWrap/>
            <w:vAlign w:val="center"/>
            <w:hideMark/>
          </w:tcPr>
          <w:p w14:paraId="596CEA8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-38.43</w:t>
            </w:r>
          </w:p>
        </w:tc>
        <w:tc>
          <w:tcPr>
            <w:tcW w:w="588" w:type="pct"/>
            <w:tcBorders>
              <w:top w:val="nil"/>
              <w:left w:val="nil"/>
              <w:bottom w:val="nil"/>
              <w:right w:val="nil"/>
            </w:tcBorders>
            <w:shd w:val="clear" w:color="auto" w:fill="auto"/>
            <w:noWrap/>
            <w:vAlign w:val="center"/>
            <w:hideMark/>
          </w:tcPr>
          <w:p w14:paraId="426EFCC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121.47</w:t>
            </w:r>
          </w:p>
        </w:tc>
        <w:tc>
          <w:tcPr>
            <w:tcW w:w="654" w:type="pct"/>
            <w:tcBorders>
              <w:top w:val="nil"/>
              <w:left w:val="nil"/>
              <w:bottom w:val="nil"/>
              <w:right w:val="nil"/>
            </w:tcBorders>
            <w:shd w:val="clear" w:color="auto" w:fill="auto"/>
            <w:noWrap/>
            <w:vAlign w:val="center"/>
            <w:hideMark/>
          </w:tcPr>
          <w:p w14:paraId="36E3A10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55A466D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-23.33</w:t>
            </w:r>
          </w:p>
        </w:tc>
        <w:tc>
          <w:tcPr>
            <w:tcW w:w="561" w:type="pct"/>
            <w:tcBorders>
              <w:top w:val="nil"/>
              <w:left w:val="nil"/>
              <w:bottom w:val="nil"/>
              <w:right w:val="nil"/>
            </w:tcBorders>
            <w:shd w:val="clear" w:color="auto" w:fill="auto"/>
            <w:noWrap/>
            <w:vAlign w:val="center"/>
            <w:hideMark/>
          </w:tcPr>
          <w:p w14:paraId="1F0B6C1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945.34</w:t>
            </w:r>
          </w:p>
        </w:tc>
        <w:tc>
          <w:tcPr>
            <w:tcW w:w="343" w:type="pct"/>
            <w:tcBorders>
              <w:top w:val="nil"/>
              <w:left w:val="nil"/>
              <w:bottom w:val="nil"/>
              <w:right w:val="nil"/>
            </w:tcBorders>
            <w:shd w:val="clear" w:color="auto" w:fill="auto"/>
            <w:noWrap/>
            <w:vAlign w:val="center"/>
            <w:hideMark/>
          </w:tcPr>
          <w:p w14:paraId="143EFB4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0.64</w:t>
            </w:r>
          </w:p>
        </w:tc>
      </w:tr>
      <w:tr w:rsidR="00E37084" w:rsidRPr="00E37084" w14:paraId="1DBCE9B0" w14:textId="77777777" w:rsidTr="00EE68F9">
        <w:trPr>
          <w:trHeight w:val="300"/>
        </w:trPr>
        <w:tc>
          <w:tcPr>
            <w:tcW w:w="933" w:type="pct"/>
            <w:tcBorders>
              <w:top w:val="nil"/>
              <w:left w:val="nil"/>
              <w:bottom w:val="single" w:sz="4" w:space="0" w:color="auto"/>
              <w:right w:val="nil"/>
            </w:tcBorders>
            <w:shd w:val="clear" w:color="auto" w:fill="auto"/>
            <w:noWrap/>
            <w:vAlign w:val="center"/>
            <w:hideMark/>
          </w:tcPr>
          <w:p w14:paraId="2343BE31"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595" w:type="pct"/>
            <w:tcBorders>
              <w:top w:val="nil"/>
              <w:left w:val="nil"/>
              <w:bottom w:val="single" w:sz="4" w:space="0" w:color="auto"/>
              <w:right w:val="nil"/>
            </w:tcBorders>
            <w:shd w:val="clear" w:color="auto" w:fill="auto"/>
            <w:noWrap/>
            <w:vAlign w:val="center"/>
            <w:hideMark/>
          </w:tcPr>
          <w:p w14:paraId="78E42C0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(0.95)</w:t>
            </w:r>
          </w:p>
        </w:tc>
        <w:tc>
          <w:tcPr>
            <w:tcW w:w="592" w:type="pct"/>
            <w:tcBorders>
              <w:top w:val="nil"/>
              <w:left w:val="nil"/>
              <w:bottom w:val="single" w:sz="4" w:space="0" w:color="auto"/>
              <w:right w:val="nil"/>
            </w:tcBorders>
            <w:shd w:val="clear" w:color="auto" w:fill="auto"/>
            <w:noWrap/>
            <w:vAlign w:val="center"/>
            <w:hideMark/>
          </w:tcPr>
          <w:p w14:paraId="6479D44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(0.48)</w:t>
            </w:r>
          </w:p>
        </w:tc>
        <w:tc>
          <w:tcPr>
            <w:tcW w:w="588" w:type="pct"/>
            <w:tcBorders>
              <w:top w:val="nil"/>
              <w:left w:val="nil"/>
              <w:bottom w:val="single" w:sz="4" w:space="0" w:color="auto"/>
              <w:right w:val="nil"/>
            </w:tcBorders>
            <w:shd w:val="clear" w:color="auto" w:fill="auto"/>
            <w:noWrap/>
            <w:vAlign w:val="center"/>
            <w:hideMark/>
          </w:tcPr>
          <w:p w14:paraId="30D233A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(0.64)</w:t>
            </w:r>
          </w:p>
        </w:tc>
        <w:tc>
          <w:tcPr>
            <w:tcW w:w="654" w:type="pct"/>
            <w:tcBorders>
              <w:top w:val="nil"/>
              <w:left w:val="nil"/>
              <w:bottom w:val="single" w:sz="4" w:space="0" w:color="auto"/>
              <w:right w:val="nil"/>
            </w:tcBorders>
            <w:shd w:val="clear" w:color="auto" w:fill="auto"/>
            <w:noWrap/>
            <w:vAlign w:val="center"/>
            <w:hideMark/>
          </w:tcPr>
          <w:p w14:paraId="0B14C24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34" w:type="pct"/>
            <w:tcBorders>
              <w:top w:val="nil"/>
              <w:left w:val="nil"/>
              <w:bottom w:val="single" w:sz="4" w:space="0" w:color="auto"/>
              <w:right w:val="nil"/>
            </w:tcBorders>
            <w:shd w:val="clear" w:color="auto" w:fill="auto"/>
            <w:noWrap/>
            <w:vAlign w:val="center"/>
            <w:hideMark/>
          </w:tcPr>
          <w:p w14:paraId="366CBB4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(0.17)</w:t>
            </w:r>
          </w:p>
        </w:tc>
        <w:tc>
          <w:tcPr>
            <w:tcW w:w="561" w:type="pct"/>
            <w:tcBorders>
              <w:top w:val="nil"/>
              <w:left w:val="nil"/>
              <w:bottom w:val="single" w:sz="4" w:space="0" w:color="auto"/>
              <w:right w:val="nil"/>
            </w:tcBorders>
            <w:shd w:val="clear" w:color="auto" w:fill="auto"/>
            <w:noWrap/>
            <w:vAlign w:val="center"/>
            <w:hideMark/>
          </w:tcPr>
          <w:p w14:paraId="0459B58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343" w:type="pct"/>
            <w:tcBorders>
              <w:top w:val="nil"/>
              <w:left w:val="nil"/>
              <w:bottom w:val="single" w:sz="4" w:space="0" w:color="auto"/>
              <w:right w:val="nil"/>
            </w:tcBorders>
            <w:shd w:val="clear" w:color="auto" w:fill="auto"/>
            <w:noWrap/>
            <w:vAlign w:val="center"/>
            <w:hideMark/>
          </w:tcPr>
          <w:p w14:paraId="009636B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2C9C1D66" w14:textId="4C1CF780" w:rsidR="006574BC" w:rsidRDefault="00EE68F9" w:rsidP="00777422">
      <w:pPr>
        <w:pStyle w:val="Notesourcetext"/>
      </w:pPr>
      <w:r>
        <w:t>Note: * denotes significance at the 95% level</w:t>
      </w:r>
    </w:p>
    <w:p w14:paraId="7C209723" w14:textId="77777777" w:rsidR="006574BC" w:rsidRPr="006574BC" w:rsidRDefault="006574BC" w:rsidP="006574BC">
      <w:pPr>
        <w:pStyle w:val="BodyText1"/>
      </w:pPr>
    </w:p>
    <w:p w14:paraId="095305B1" w14:textId="77777777" w:rsidR="00670D13" w:rsidRDefault="00670D13" w:rsidP="00B32079">
      <w:pPr>
        <w:pStyle w:val="Caption"/>
      </w:pPr>
      <w:bookmarkStart w:id="57" w:name="_Ref486528734"/>
      <w:bookmarkStart w:id="58" w:name="_Toc491356916"/>
      <w:bookmarkStart w:id="59" w:name="_Toc505345894"/>
      <w:r>
        <w:t xml:space="preserve">Table </w:t>
      </w:r>
      <w:r w:rsidR="00915ABD">
        <w:fldChar w:fldCharType="begin"/>
      </w:r>
      <w:r>
        <w:instrText xml:space="preserve"> SEQ Table \* ARABIC </w:instrText>
      </w:r>
      <w:r w:rsidR="00915ABD">
        <w:fldChar w:fldCharType="separate"/>
      </w:r>
      <w:r w:rsidR="00F709AB">
        <w:rPr>
          <w:noProof/>
        </w:rPr>
        <w:t>11</w:t>
      </w:r>
      <w:r w:rsidR="00915ABD">
        <w:fldChar w:fldCharType="end"/>
      </w:r>
      <w:bookmarkEnd w:id="57"/>
      <w:r w:rsidR="006E24BC">
        <w:t xml:space="preserve"> Regression</w:t>
      </w:r>
      <w:r>
        <w:t xml:space="preserve"> results for land use by irrigation activity, VIC Goulburn-Broken</w:t>
      </w:r>
      <w:bookmarkEnd w:id="58"/>
      <w:bookmarkEnd w:id="59"/>
    </w:p>
    <w:tbl>
      <w:tblPr>
        <w:tblW w:w="5000" w:type="pct"/>
        <w:tblLook w:val="04A0" w:firstRow="1" w:lastRow="0" w:firstColumn="1" w:lastColumn="0" w:noHBand="0" w:noVBand="1"/>
      </w:tblPr>
      <w:tblGrid>
        <w:gridCol w:w="1653"/>
        <w:gridCol w:w="1253"/>
        <w:gridCol w:w="1047"/>
        <w:gridCol w:w="1041"/>
        <w:gridCol w:w="1157"/>
        <w:gridCol w:w="1301"/>
        <w:gridCol w:w="1010"/>
        <w:gridCol w:w="608"/>
      </w:tblGrid>
      <w:tr w:rsidR="00E37084" w:rsidRPr="00E37084" w14:paraId="5077D208" w14:textId="77777777" w:rsidTr="00EE68F9">
        <w:trPr>
          <w:trHeight w:val="510"/>
        </w:trPr>
        <w:tc>
          <w:tcPr>
            <w:tcW w:w="911" w:type="pct"/>
            <w:tcBorders>
              <w:top w:val="single" w:sz="4" w:space="0" w:color="auto"/>
              <w:left w:val="nil"/>
              <w:bottom w:val="single" w:sz="4" w:space="0" w:color="auto"/>
              <w:right w:val="nil"/>
            </w:tcBorders>
            <w:shd w:val="clear" w:color="auto" w:fill="auto"/>
            <w:noWrap/>
            <w:vAlign w:val="center"/>
            <w:hideMark/>
          </w:tcPr>
          <w:p w14:paraId="0D0F15E7"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691" w:type="pct"/>
            <w:tcBorders>
              <w:top w:val="single" w:sz="4" w:space="0" w:color="auto"/>
              <w:left w:val="nil"/>
              <w:bottom w:val="single" w:sz="4" w:space="0" w:color="auto"/>
              <w:right w:val="nil"/>
            </w:tcBorders>
            <w:shd w:val="clear" w:color="auto" w:fill="auto"/>
            <w:noWrap/>
            <w:vAlign w:val="center"/>
            <w:hideMark/>
          </w:tcPr>
          <w:p w14:paraId="16C7FB17"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77" w:type="pct"/>
            <w:tcBorders>
              <w:top w:val="single" w:sz="4" w:space="0" w:color="auto"/>
              <w:left w:val="nil"/>
              <w:bottom w:val="single" w:sz="4" w:space="0" w:color="auto"/>
              <w:right w:val="nil"/>
            </w:tcBorders>
            <w:shd w:val="clear" w:color="auto" w:fill="auto"/>
            <w:noWrap/>
            <w:vAlign w:val="center"/>
            <w:hideMark/>
          </w:tcPr>
          <w:p w14:paraId="10F84F5D"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574" w:type="pct"/>
            <w:tcBorders>
              <w:top w:val="single" w:sz="4" w:space="0" w:color="auto"/>
              <w:left w:val="nil"/>
              <w:bottom w:val="single" w:sz="4" w:space="0" w:color="auto"/>
              <w:right w:val="nil"/>
            </w:tcBorders>
            <w:shd w:val="clear" w:color="auto" w:fill="auto"/>
            <w:vAlign w:val="center"/>
            <w:hideMark/>
          </w:tcPr>
          <w:p w14:paraId="21096A7E"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Output </w:t>
            </w:r>
            <w:r w:rsidRPr="00E37084">
              <w:rPr>
                <w:rFonts w:eastAsia="Times New Roman"/>
                <w:b/>
                <w:bCs/>
                <w:color w:val="000000"/>
                <w:sz w:val="19"/>
                <w:szCs w:val="19"/>
                <w:lang w:eastAsia="en-AU"/>
              </w:rPr>
              <w:br/>
              <w:t>price (Y)</w:t>
            </w:r>
          </w:p>
        </w:tc>
        <w:tc>
          <w:tcPr>
            <w:tcW w:w="638" w:type="pct"/>
            <w:tcBorders>
              <w:top w:val="single" w:sz="4" w:space="0" w:color="auto"/>
              <w:left w:val="nil"/>
              <w:bottom w:val="single" w:sz="4" w:space="0" w:color="auto"/>
              <w:right w:val="nil"/>
            </w:tcBorders>
            <w:shd w:val="clear" w:color="auto" w:fill="auto"/>
            <w:vAlign w:val="center"/>
            <w:hideMark/>
          </w:tcPr>
          <w:p w14:paraId="01473719"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r w:rsidRPr="00E37084">
              <w:rPr>
                <w:rFonts w:eastAsia="Times New Roman"/>
                <w:b/>
                <w:bCs/>
                <w:color w:val="000000"/>
                <w:sz w:val="19"/>
                <w:szCs w:val="19"/>
                <w:lang w:eastAsia="en-AU"/>
              </w:rPr>
              <w:br/>
              <w:t>price (CY)</w:t>
            </w:r>
          </w:p>
        </w:tc>
        <w:tc>
          <w:tcPr>
            <w:tcW w:w="717" w:type="pct"/>
            <w:tcBorders>
              <w:top w:val="single" w:sz="4" w:space="0" w:color="auto"/>
              <w:left w:val="nil"/>
              <w:bottom w:val="single" w:sz="4" w:space="0" w:color="auto"/>
              <w:right w:val="nil"/>
            </w:tcBorders>
            <w:shd w:val="clear" w:color="auto" w:fill="auto"/>
            <w:noWrap/>
            <w:vAlign w:val="center"/>
            <w:hideMark/>
          </w:tcPr>
          <w:p w14:paraId="24196CF6"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57" w:type="pct"/>
            <w:tcBorders>
              <w:top w:val="single" w:sz="4" w:space="0" w:color="auto"/>
              <w:left w:val="nil"/>
              <w:bottom w:val="single" w:sz="4" w:space="0" w:color="auto"/>
              <w:right w:val="nil"/>
            </w:tcBorders>
            <w:shd w:val="clear" w:color="auto" w:fill="auto"/>
            <w:noWrap/>
            <w:vAlign w:val="center"/>
            <w:hideMark/>
          </w:tcPr>
          <w:p w14:paraId="7E75D9A7"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35" w:type="pct"/>
            <w:tcBorders>
              <w:top w:val="single" w:sz="4" w:space="0" w:color="auto"/>
              <w:left w:val="nil"/>
              <w:bottom w:val="single" w:sz="4" w:space="0" w:color="auto"/>
              <w:right w:val="nil"/>
            </w:tcBorders>
            <w:shd w:val="clear" w:color="auto" w:fill="auto"/>
            <w:noWrap/>
            <w:vAlign w:val="center"/>
            <w:hideMark/>
          </w:tcPr>
          <w:p w14:paraId="0A2BE188"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1374E2BE" w14:textId="77777777" w:rsidTr="00EE68F9">
        <w:trPr>
          <w:trHeight w:val="300"/>
        </w:trPr>
        <w:tc>
          <w:tcPr>
            <w:tcW w:w="911" w:type="pct"/>
            <w:tcBorders>
              <w:top w:val="nil"/>
              <w:left w:val="nil"/>
              <w:bottom w:val="nil"/>
              <w:right w:val="nil"/>
            </w:tcBorders>
            <w:shd w:val="clear" w:color="auto" w:fill="auto"/>
            <w:noWrap/>
            <w:vAlign w:val="center"/>
            <w:hideMark/>
          </w:tcPr>
          <w:p w14:paraId="1FC15C84"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691" w:type="pct"/>
            <w:tcBorders>
              <w:top w:val="nil"/>
              <w:left w:val="nil"/>
              <w:bottom w:val="nil"/>
              <w:right w:val="nil"/>
            </w:tcBorders>
            <w:shd w:val="clear" w:color="auto" w:fill="auto"/>
            <w:noWrap/>
            <w:vAlign w:val="center"/>
            <w:hideMark/>
          </w:tcPr>
          <w:p w14:paraId="5807051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1066.51*</w:t>
            </w:r>
          </w:p>
        </w:tc>
        <w:tc>
          <w:tcPr>
            <w:tcW w:w="577" w:type="pct"/>
            <w:tcBorders>
              <w:top w:val="nil"/>
              <w:left w:val="nil"/>
              <w:bottom w:val="nil"/>
              <w:right w:val="nil"/>
            </w:tcBorders>
            <w:shd w:val="clear" w:color="auto" w:fill="auto"/>
            <w:noWrap/>
            <w:vAlign w:val="center"/>
            <w:hideMark/>
          </w:tcPr>
          <w:p w14:paraId="205B856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-1.18*</w:t>
            </w:r>
          </w:p>
        </w:tc>
        <w:tc>
          <w:tcPr>
            <w:tcW w:w="574" w:type="pct"/>
            <w:tcBorders>
              <w:top w:val="nil"/>
              <w:left w:val="nil"/>
              <w:bottom w:val="nil"/>
              <w:right w:val="nil"/>
            </w:tcBorders>
            <w:shd w:val="clear" w:color="auto" w:fill="auto"/>
            <w:noWrap/>
            <w:vAlign w:val="center"/>
            <w:hideMark/>
          </w:tcPr>
          <w:p w14:paraId="721A44F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74D3C10B"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7AA1A79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-0.58</w:t>
            </w:r>
          </w:p>
        </w:tc>
        <w:tc>
          <w:tcPr>
            <w:tcW w:w="557" w:type="pct"/>
            <w:tcBorders>
              <w:top w:val="nil"/>
              <w:left w:val="nil"/>
              <w:bottom w:val="nil"/>
              <w:right w:val="nil"/>
            </w:tcBorders>
            <w:shd w:val="clear" w:color="auto" w:fill="auto"/>
            <w:noWrap/>
            <w:vAlign w:val="center"/>
            <w:hideMark/>
          </w:tcPr>
          <w:p w14:paraId="26A87CD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-50.12*</w:t>
            </w:r>
          </w:p>
        </w:tc>
        <w:tc>
          <w:tcPr>
            <w:tcW w:w="335" w:type="pct"/>
            <w:tcBorders>
              <w:top w:val="nil"/>
              <w:left w:val="nil"/>
              <w:bottom w:val="nil"/>
              <w:right w:val="nil"/>
            </w:tcBorders>
            <w:shd w:val="clear" w:color="auto" w:fill="auto"/>
            <w:noWrap/>
            <w:vAlign w:val="center"/>
            <w:hideMark/>
          </w:tcPr>
          <w:p w14:paraId="28CB1F1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0.78</w:t>
            </w:r>
          </w:p>
        </w:tc>
      </w:tr>
      <w:tr w:rsidR="00E37084" w:rsidRPr="00E37084" w14:paraId="348BB47F" w14:textId="77777777" w:rsidTr="00EE68F9">
        <w:trPr>
          <w:trHeight w:val="300"/>
        </w:trPr>
        <w:tc>
          <w:tcPr>
            <w:tcW w:w="911" w:type="pct"/>
            <w:tcBorders>
              <w:top w:val="nil"/>
              <w:left w:val="nil"/>
              <w:bottom w:val="nil"/>
              <w:right w:val="nil"/>
            </w:tcBorders>
            <w:shd w:val="clear" w:color="auto" w:fill="auto"/>
            <w:noWrap/>
            <w:vAlign w:val="center"/>
            <w:hideMark/>
          </w:tcPr>
          <w:p w14:paraId="062B52A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470E193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7" w:type="pct"/>
            <w:tcBorders>
              <w:top w:val="nil"/>
              <w:left w:val="nil"/>
              <w:bottom w:val="nil"/>
              <w:right w:val="nil"/>
            </w:tcBorders>
            <w:shd w:val="clear" w:color="auto" w:fill="auto"/>
            <w:noWrap/>
            <w:vAlign w:val="center"/>
            <w:hideMark/>
          </w:tcPr>
          <w:p w14:paraId="02EA69A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4" w:type="pct"/>
            <w:tcBorders>
              <w:top w:val="nil"/>
              <w:left w:val="nil"/>
              <w:bottom w:val="nil"/>
              <w:right w:val="nil"/>
            </w:tcBorders>
            <w:shd w:val="clear" w:color="auto" w:fill="auto"/>
            <w:noWrap/>
            <w:vAlign w:val="center"/>
            <w:hideMark/>
          </w:tcPr>
          <w:p w14:paraId="75E45CF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54CEA6FA"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16E8A75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(0.09)</w:t>
            </w:r>
          </w:p>
        </w:tc>
        <w:tc>
          <w:tcPr>
            <w:tcW w:w="557" w:type="pct"/>
            <w:tcBorders>
              <w:top w:val="nil"/>
              <w:left w:val="nil"/>
              <w:bottom w:val="nil"/>
              <w:right w:val="nil"/>
            </w:tcBorders>
            <w:shd w:val="clear" w:color="auto" w:fill="auto"/>
            <w:noWrap/>
            <w:vAlign w:val="center"/>
            <w:hideMark/>
          </w:tcPr>
          <w:p w14:paraId="7668FC1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335" w:type="pct"/>
            <w:tcBorders>
              <w:top w:val="nil"/>
              <w:left w:val="nil"/>
              <w:bottom w:val="nil"/>
              <w:right w:val="nil"/>
            </w:tcBorders>
            <w:shd w:val="clear" w:color="auto" w:fill="auto"/>
            <w:noWrap/>
            <w:vAlign w:val="center"/>
            <w:hideMark/>
          </w:tcPr>
          <w:p w14:paraId="349ADFE2"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4437DB8" w14:textId="77777777" w:rsidTr="00EE68F9">
        <w:trPr>
          <w:trHeight w:val="300"/>
        </w:trPr>
        <w:tc>
          <w:tcPr>
            <w:tcW w:w="911" w:type="pct"/>
            <w:tcBorders>
              <w:top w:val="nil"/>
              <w:left w:val="nil"/>
              <w:bottom w:val="nil"/>
              <w:right w:val="nil"/>
            </w:tcBorders>
            <w:shd w:val="clear" w:color="auto" w:fill="auto"/>
            <w:noWrap/>
            <w:vAlign w:val="center"/>
            <w:hideMark/>
          </w:tcPr>
          <w:p w14:paraId="6E984C58"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691" w:type="pct"/>
            <w:tcBorders>
              <w:top w:val="nil"/>
              <w:left w:val="nil"/>
              <w:bottom w:val="nil"/>
              <w:right w:val="nil"/>
            </w:tcBorders>
            <w:shd w:val="clear" w:color="auto" w:fill="auto"/>
            <w:noWrap/>
            <w:vAlign w:val="center"/>
            <w:hideMark/>
          </w:tcPr>
          <w:p w14:paraId="63B5AE7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2125.68*</w:t>
            </w:r>
          </w:p>
        </w:tc>
        <w:tc>
          <w:tcPr>
            <w:tcW w:w="577" w:type="pct"/>
            <w:tcBorders>
              <w:top w:val="nil"/>
              <w:left w:val="nil"/>
              <w:bottom w:val="nil"/>
              <w:right w:val="nil"/>
            </w:tcBorders>
            <w:shd w:val="clear" w:color="auto" w:fill="auto"/>
            <w:noWrap/>
            <w:vAlign w:val="center"/>
            <w:hideMark/>
          </w:tcPr>
          <w:p w14:paraId="4BF438F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74" w:type="pct"/>
            <w:tcBorders>
              <w:top w:val="nil"/>
              <w:left w:val="nil"/>
              <w:bottom w:val="nil"/>
              <w:right w:val="nil"/>
            </w:tcBorders>
            <w:shd w:val="clear" w:color="auto" w:fill="auto"/>
            <w:noWrap/>
            <w:vAlign w:val="center"/>
            <w:hideMark/>
          </w:tcPr>
          <w:p w14:paraId="73396A96"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638" w:type="pct"/>
            <w:tcBorders>
              <w:top w:val="nil"/>
              <w:left w:val="nil"/>
              <w:bottom w:val="nil"/>
              <w:right w:val="nil"/>
            </w:tcBorders>
            <w:shd w:val="clear" w:color="auto" w:fill="auto"/>
            <w:noWrap/>
            <w:vAlign w:val="center"/>
            <w:hideMark/>
          </w:tcPr>
          <w:p w14:paraId="7CBAF20D"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2AE4DCC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0.49</w:t>
            </w:r>
          </w:p>
        </w:tc>
        <w:tc>
          <w:tcPr>
            <w:tcW w:w="557" w:type="pct"/>
            <w:tcBorders>
              <w:top w:val="nil"/>
              <w:left w:val="nil"/>
              <w:bottom w:val="nil"/>
              <w:right w:val="nil"/>
            </w:tcBorders>
            <w:shd w:val="clear" w:color="auto" w:fill="auto"/>
            <w:noWrap/>
            <w:vAlign w:val="center"/>
            <w:hideMark/>
          </w:tcPr>
          <w:p w14:paraId="28F6821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-20.83</w:t>
            </w:r>
          </w:p>
        </w:tc>
        <w:tc>
          <w:tcPr>
            <w:tcW w:w="335" w:type="pct"/>
            <w:tcBorders>
              <w:top w:val="nil"/>
              <w:left w:val="nil"/>
              <w:bottom w:val="nil"/>
              <w:right w:val="nil"/>
            </w:tcBorders>
            <w:shd w:val="clear" w:color="auto" w:fill="auto"/>
            <w:noWrap/>
            <w:vAlign w:val="center"/>
            <w:hideMark/>
          </w:tcPr>
          <w:p w14:paraId="13EA080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0.26</w:t>
            </w:r>
          </w:p>
        </w:tc>
      </w:tr>
      <w:tr w:rsidR="00E37084" w:rsidRPr="00E37084" w14:paraId="3F91560D" w14:textId="77777777" w:rsidTr="00EE68F9">
        <w:trPr>
          <w:trHeight w:val="300"/>
        </w:trPr>
        <w:tc>
          <w:tcPr>
            <w:tcW w:w="911" w:type="pct"/>
            <w:tcBorders>
              <w:top w:val="nil"/>
              <w:left w:val="nil"/>
              <w:bottom w:val="nil"/>
              <w:right w:val="nil"/>
            </w:tcBorders>
            <w:shd w:val="clear" w:color="auto" w:fill="auto"/>
            <w:noWrap/>
            <w:vAlign w:val="center"/>
            <w:hideMark/>
          </w:tcPr>
          <w:p w14:paraId="7C3AA8A6"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7164D9F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77" w:type="pct"/>
            <w:tcBorders>
              <w:top w:val="nil"/>
              <w:left w:val="nil"/>
              <w:bottom w:val="nil"/>
              <w:right w:val="nil"/>
            </w:tcBorders>
            <w:shd w:val="clear" w:color="auto" w:fill="auto"/>
            <w:noWrap/>
            <w:vAlign w:val="center"/>
            <w:hideMark/>
          </w:tcPr>
          <w:p w14:paraId="450AEE1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74" w:type="pct"/>
            <w:tcBorders>
              <w:top w:val="nil"/>
              <w:left w:val="nil"/>
              <w:bottom w:val="nil"/>
              <w:right w:val="nil"/>
            </w:tcBorders>
            <w:shd w:val="clear" w:color="auto" w:fill="auto"/>
            <w:noWrap/>
            <w:vAlign w:val="center"/>
            <w:hideMark/>
          </w:tcPr>
          <w:p w14:paraId="4F5BB61A"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638" w:type="pct"/>
            <w:tcBorders>
              <w:top w:val="nil"/>
              <w:left w:val="nil"/>
              <w:bottom w:val="nil"/>
              <w:right w:val="nil"/>
            </w:tcBorders>
            <w:shd w:val="clear" w:color="auto" w:fill="auto"/>
            <w:noWrap/>
            <w:vAlign w:val="center"/>
            <w:hideMark/>
          </w:tcPr>
          <w:p w14:paraId="0C65D891"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17" w:type="pct"/>
            <w:tcBorders>
              <w:top w:val="nil"/>
              <w:left w:val="nil"/>
              <w:bottom w:val="nil"/>
              <w:right w:val="nil"/>
            </w:tcBorders>
            <w:shd w:val="clear" w:color="auto" w:fill="auto"/>
            <w:noWrap/>
            <w:vAlign w:val="center"/>
            <w:hideMark/>
          </w:tcPr>
          <w:p w14:paraId="3A31F35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557" w:type="pct"/>
            <w:tcBorders>
              <w:top w:val="nil"/>
              <w:left w:val="nil"/>
              <w:bottom w:val="nil"/>
              <w:right w:val="nil"/>
            </w:tcBorders>
            <w:shd w:val="clear" w:color="auto" w:fill="auto"/>
            <w:noWrap/>
            <w:vAlign w:val="center"/>
            <w:hideMark/>
          </w:tcPr>
          <w:p w14:paraId="2951211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(0.30)</w:t>
            </w:r>
          </w:p>
        </w:tc>
        <w:tc>
          <w:tcPr>
            <w:tcW w:w="335" w:type="pct"/>
            <w:tcBorders>
              <w:top w:val="nil"/>
              <w:left w:val="nil"/>
              <w:bottom w:val="nil"/>
              <w:right w:val="nil"/>
            </w:tcBorders>
            <w:shd w:val="clear" w:color="auto" w:fill="auto"/>
            <w:noWrap/>
            <w:vAlign w:val="center"/>
            <w:hideMark/>
          </w:tcPr>
          <w:p w14:paraId="286ED941"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B3559D1" w14:textId="77777777" w:rsidTr="00EE68F9">
        <w:trPr>
          <w:trHeight w:val="300"/>
        </w:trPr>
        <w:tc>
          <w:tcPr>
            <w:tcW w:w="911" w:type="pct"/>
            <w:tcBorders>
              <w:top w:val="nil"/>
              <w:left w:val="nil"/>
              <w:bottom w:val="nil"/>
              <w:right w:val="nil"/>
            </w:tcBorders>
            <w:shd w:val="clear" w:color="auto" w:fill="auto"/>
            <w:noWrap/>
            <w:vAlign w:val="center"/>
            <w:hideMark/>
          </w:tcPr>
          <w:p w14:paraId="459EF67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691" w:type="pct"/>
            <w:tcBorders>
              <w:top w:val="nil"/>
              <w:left w:val="nil"/>
              <w:bottom w:val="nil"/>
              <w:right w:val="nil"/>
            </w:tcBorders>
            <w:shd w:val="clear" w:color="auto" w:fill="auto"/>
            <w:noWrap/>
            <w:vAlign w:val="center"/>
            <w:hideMark/>
          </w:tcPr>
          <w:p w14:paraId="7E62AAA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-339.98</w:t>
            </w:r>
          </w:p>
        </w:tc>
        <w:tc>
          <w:tcPr>
            <w:tcW w:w="577" w:type="pct"/>
            <w:tcBorders>
              <w:top w:val="nil"/>
              <w:left w:val="nil"/>
              <w:bottom w:val="nil"/>
              <w:right w:val="nil"/>
            </w:tcBorders>
            <w:shd w:val="clear" w:color="auto" w:fill="auto"/>
            <w:noWrap/>
            <w:vAlign w:val="center"/>
            <w:hideMark/>
          </w:tcPr>
          <w:p w14:paraId="2A394D3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-14.69*</w:t>
            </w:r>
          </w:p>
        </w:tc>
        <w:tc>
          <w:tcPr>
            <w:tcW w:w="574" w:type="pct"/>
            <w:tcBorders>
              <w:top w:val="nil"/>
              <w:left w:val="nil"/>
              <w:bottom w:val="nil"/>
              <w:right w:val="nil"/>
            </w:tcBorders>
            <w:shd w:val="clear" w:color="auto" w:fill="auto"/>
            <w:noWrap/>
            <w:vAlign w:val="center"/>
            <w:hideMark/>
          </w:tcPr>
          <w:p w14:paraId="7354FA2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85.19*</w:t>
            </w:r>
          </w:p>
        </w:tc>
        <w:tc>
          <w:tcPr>
            <w:tcW w:w="638" w:type="pct"/>
            <w:tcBorders>
              <w:top w:val="nil"/>
              <w:left w:val="nil"/>
              <w:bottom w:val="nil"/>
              <w:right w:val="nil"/>
            </w:tcBorders>
            <w:shd w:val="clear" w:color="auto" w:fill="auto"/>
            <w:noWrap/>
            <w:vAlign w:val="center"/>
            <w:hideMark/>
          </w:tcPr>
          <w:p w14:paraId="1E0D473E"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7E72DB4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-8.02*</w:t>
            </w:r>
          </w:p>
        </w:tc>
        <w:tc>
          <w:tcPr>
            <w:tcW w:w="557" w:type="pct"/>
            <w:tcBorders>
              <w:top w:val="nil"/>
              <w:left w:val="nil"/>
              <w:bottom w:val="nil"/>
              <w:right w:val="nil"/>
            </w:tcBorders>
            <w:shd w:val="clear" w:color="auto" w:fill="auto"/>
            <w:noWrap/>
            <w:vAlign w:val="center"/>
            <w:hideMark/>
          </w:tcPr>
          <w:p w14:paraId="1753371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-21.15</w:t>
            </w:r>
          </w:p>
        </w:tc>
        <w:tc>
          <w:tcPr>
            <w:tcW w:w="335" w:type="pct"/>
            <w:tcBorders>
              <w:top w:val="nil"/>
              <w:left w:val="nil"/>
              <w:bottom w:val="nil"/>
              <w:right w:val="nil"/>
            </w:tcBorders>
            <w:shd w:val="clear" w:color="auto" w:fill="auto"/>
            <w:noWrap/>
            <w:vAlign w:val="center"/>
            <w:hideMark/>
          </w:tcPr>
          <w:p w14:paraId="6E764B5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0.87</w:t>
            </w:r>
          </w:p>
        </w:tc>
      </w:tr>
      <w:tr w:rsidR="00E37084" w:rsidRPr="00E37084" w14:paraId="36AFB90C" w14:textId="77777777" w:rsidTr="00EE68F9">
        <w:trPr>
          <w:trHeight w:val="300"/>
        </w:trPr>
        <w:tc>
          <w:tcPr>
            <w:tcW w:w="911" w:type="pct"/>
            <w:tcBorders>
              <w:top w:val="nil"/>
              <w:left w:val="nil"/>
              <w:bottom w:val="nil"/>
              <w:right w:val="nil"/>
            </w:tcBorders>
            <w:shd w:val="clear" w:color="auto" w:fill="auto"/>
            <w:noWrap/>
            <w:vAlign w:val="center"/>
            <w:hideMark/>
          </w:tcPr>
          <w:p w14:paraId="58C381AA"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5F522F5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(0.93)</w:t>
            </w:r>
          </w:p>
        </w:tc>
        <w:tc>
          <w:tcPr>
            <w:tcW w:w="577" w:type="pct"/>
            <w:tcBorders>
              <w:top w:val="nil"/>
              <w:left w:val="nil"/>
              <w:bottom w:val="nil"/>
              <w:right w:val="nil"/>
            </w:tcBorders>
            <w:shd w:val="clear" w:color="auto" w:fill="auto"/>
            <w:noWrap/>
            <w:vAlign w:val="center"/>
            <w:hideMark/>
          </w:tcPr>
          <w:p w14:paraId="6EEE517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74" w:type="pct"/>
            <w:tcBorders>
              <w:top w:val="nil"/>
              <w:left w:val="nil"/>
              <w:bottom w:val="nil"/>
              <w:right w:val="nil"/>
            </w:tcBorders>
            <w:shd w:val="clear" w:color="auto" w:fill="auto"/>
            <w:noWrap/>
            <w:vAlign w:val="center"/>
            <w:hideMark/>
          </w:tcPr>
          <w:p w14:paraId="47B7A1D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638" w:type="pct"/>
            <w:tcBorders>
              <w:top w:val="nil"/>
              <w:left w:val="nil"/>
              <w:bottom w:val="nil"/>
              <w:right w:val="nil"/>
            </w:tcBorders>
            <w:shd w:val="clear" w:color="auto" w:fill="auto"/>
            <w:noWrap/>
            <w:vAlign w:val="center"/>
            <w:hideMark/>
          </w:tcPr>
          <w:p w14:paraId="6AC9632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4AED3D5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557" w:type="pct"/>
            <w:tcBorders>
              <w:top w:val="nil"/>
              <w:left w:val="nil"/>
              <w:bottom w:val="nil"/>
              <w:right w:val="nil"/>
            </w:tcBorders>
            <w:shd w:val="clear" w:color="auto" w:fill="auto"/>
            <w:noWrap/>
            <w:vAlign w:val="center"/>
            <w:hideMark/>
          </w:tcPr>
          <w:p w14:paraId="0A56DD6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(0.94)</w:t>
            </w:r>
          </w:p>
        </w:tc>
        <w:tc>
          <w:tcPr>
            <w:tcW w:w="335" w:type="pct"/>
            <w:tcBorders>
              <w:top w:val="nil"/>
              <w:left w:val="nil"/>
              <w:bottom w:val="nil"/>
              <w:right w:val="nil"/>
            </w:tcBorders>
            <w:shd w:val="clear" w:color="auto" w:fill="auto"/>
            <w:noWrap/>
            <w:vAlign w:val="center"/>
            <w:hideMark/>
          </w:tcPr>
          <w:p w14:paraId="4178144E"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6F07A95" w14:textId="77777777" w:rsidTr="00EE68F9">
        <w:trPr>
          <w:trHeight w:val="300"/>
        </w:trPr>
        <w:tc>
          <w:tcPr>
            <w:tcW w:w="911" w:type="pct"/>
            <w:tcBorders>
              <w:top w:val="nil"/>
              <w:left w:val="nil"/>
              <w:bottom w:val="nil"/>
              <w:right w:val="nil"/>
            </w:tcBorders>
            <w:shd w:val="clear" w:color="auto" w:fill="auto"/>
            <w:noWrap/>
            <w:vAlign w:val="center"/>
            <w:hideMark/>
          </w:tcPr>
          <w:p w14:paraId="0E5ACA7E"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691" w:type="pct"/>
            <w:tcBorders>
              <w:top w:val="nil"/>
              <w:left w:val="nil"/>
              <w:bottom w:val="nil"/>
              <w:right w:val="nil"/>
            </w:tcBorders>
            <w:shd w:val="clear" w:color="auto" w:fill="auto"/>
            <w:noWrap/>
            <w:vAlign w:val="center"/>
            <w:hideMark/>
          </w:tcPr>
          <w:p w14:paraId="4C17020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16018.40</w:t>
            </w:r>
          </w:p>
        </w:tc>
        <w:tc>
          <w:tcPr>
            <w:tcW w:w="577" w:type="pct"/>
            <w:tcBorders>
              <w:top w:val="nil"/>
              <w:left w:val="nil"/>
              <w:bottom w:val="nil"/>
              <w:right w:val="nil"/>
            </w:tcBorders>
            <w:shd w:val="clear" w:color="auto" w:fill="auto"/>
            <w:noWrap/>
            <w:vAlign w:val="center"/>
            <w:hideMark/>
          </w:tcPr>
          <w:p w14:paraId="29B6114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-13.27</w:t>
            </w:r>
          </w:p>
        </w:tc>
        <w:tc>
          <w:tcPr>
            <w:tcW w:w="574" w:type="pct"/>
            <w:tcBorders>
              <w:top w:val="nil"/>
              <w:left w:val="nil"/>
              <w:bottom w:val="nil"/>
              <w:right w:val="nil"/>
            </w:tcBorders>
            <w:shd w:val="clear" w:color="auto" w:fill="auto"/>
            <w:noWrap/>
            <w:vAlign w:val="center"/>
            <w:hideMark/>
          </w:tcPr>
          <w:p w14:paraId="48C27E6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3.53</w:t>
            </w:r>
          </w:p>
        </w:tc>
        <w:tc>
          <w:tcPr>
            <w:tcW w:w="638" w:type="pct"/>
            <w:tcBorders>
              <w:top w:val="nil"/>
              <w:left w:val="nil"/>
              <w:bottom w:val="nil"/>
              <w:right w:val="nil"/>
            </w:tcBorders>
            <w:shd w:val="clear" w:color="auto" w:fill="auto"/>
            <w:noWrap/>
            <w:vAlign w:val="center"/>
            <w:hideMark/>
          </w:tcPr>
          <w:p w14:paraId="68772D0C"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3F080F1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-16.58</w:t>
            </w:r>
          </w:p>
        </w:tc>
        <w:tc>
          <w:tcPr>
            <w:tcW w:w="557" w:type="pct"/>
            <w:tcBorders>
              <w:top w:val="nil"/>
              <w:left w:val="nil"/>
              <w:bottom w:val="nil"/>
              <w:right w:val="nil"/>
            </w:tcBorders>
            <w:shd w:val="clear" w:color="auto" w:fill="auto"/>
            <w:noWrap/>
            <w:vAlign w:val="center"/>
            <w:hideMark/>
          </w:tcPr>
          <w:p w14:paraId="33377DC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1656.24</w:t>
            </w:r>
          </w:p>
        </w:tc>
        <w:tc>
          <w:tcPr>
            <w:tcW w:w="335" w:type="pct"/>
            <w:tcBorders>
              <w:top w:val="nil"/>
              <w:left w:val="nil"/>
              <w:bottom w:val="nil"/>
              <w:right w:val="nil"/>
            </w:tcBorders>
            <w:shd w:val="clear" w:color="auto" w:fill="auto"/>
            <w:noWrap/>
            <w:vAlign w:val="center"/>
            <w:hideMark/>
          </w:tcPr>
          <w:p w14:paraId="72E143B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0.76</w:t>
            </w:r>
          </w:p>
        </w:tc>
      </w:tr>
      <w:tr w:rsidR="00E37084" w:rsidRPr="00E37084" w14:paraId="0D49E815" w14:textId="77777777" w:rsidTr="00EE68F9">
        <w:trPr>
          <w:trHeight w:val="300"/>
        </w:trPr>
        <w:tc>
          <w:tcPr>
            <w:tcW w:w="911" w:type="pct"/>
            <w:tcBorders>
              <w:top w:val="nil"/>
              <w:left w:val="nil"/>
              <w:bottom w:val="nil"/>
              <w:right w:val="nil"/>
            </w:tcBorders>
            <w:shd w:val="clear" w:color="auto" w:fill="auto"/>
            <w:noWrap/>
            <w:vAlign w:val="center"/>
            <w:hideMark/>
          </w:tcPr>
          <w:p w14:paraId="129B869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7386136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(0.28)</w:t>
            </w:r>
          </w:p>
        </w:tc>
        <w:tc>
          <w:tcPr>
            <w:tcW w:w="577" w:type="pct"/>
            <w:tcBorders>
              <w:top w:val="nil"/>
              <w:left w:val="nil"/>
              <w:bottom w:val="nil"/>
              <w:right w:val="nil"/>
            </w:tcBorders>
            <w:shd w:val="clear" w:color="auto" w:fill="auto"/>
            <w:noWrap/>
            <w:vAlign w:val="center"/>
            <w:hideMark/>
          </w:tcPr>
          <w:p w14:paraId="79A284F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(0.36)</w:t>
            </w:r>
          </w:p>
        </w:tc>
        <w:tc>
          <w:tcPr>
            <w:tcW w:w="574" w:type="pct"/>
            <w:tcBorders>
              <w:top w:val="nil"/>
              <w:left w:val="nil"/>
              <w:bottom w:val="nil"/>
              <w:right w:val="nil"/>
            </w:tcBorders>
            <w:shd w:val="clear" w:color="auto" w:fill="auto"/>
            <w:noWrap/>
            <w:vAlign w:val="center"/>
            <w:hideMark/>
          </w:tcPr>
          <w:p w14:paraId="6AD40D5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(0.98)</w:t>
            </w:r>
          </w:p>
        </w:tc>
        <w:tc>
          <w:tcPr>
            <w:tcW w:w="638" w:type="pct"/>
            <w:tcBorders>
              <w:top w:val="nil"/>
              <w:left w:val="nil"/>
              <w:bottom w:val="nil"/>
              <w:right w:val="nil"/>
            </w:tcBorders>
            <w:shd w:val="clear" w:color="auto" w:fill="auto"/>
            <w:noWrap/>
            <w:vAlign w:val="center"/>
            <w:hideMark/>
          </w:tcPr>
          <w:p w14:paraId="64117895"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0D4BD73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557" w:type="pct"/>
            <w:tcBorders>
              <w:top w:val="nil"/>
              <w:left w:val="nil"/>
              <w:bottom w:val="nil"/>
              <w:right w:val="nil"/>
            </w:tcBorders>
            <w:shd w:val="clear" w:color="auto" w:fill="auto"/>
            <w:noWrap/>
            <w:vAlign w:val="center"/>
            <w:hideMark/>
          </w:tcPr>
          <w:p w14:paraId="318BAF0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335" w:type="pct"/>
            <w:tcBorders>
              <w:top w:val="nil"/>
              <w:left w:val="nil"/>
              <w:bottom w:val="nil"/>
              <w:right w:val="nil"/>
            </w:tcBorders>
            <w:shd w:val="clear" w:color="auto" w:fill="auto"/>
            <w:noWrap/>
            <w:vAlign w:val="center"/>
            <w:hideMark/>
          </w:tcPr>
          <w:p w14:paraId="56C63772"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2A83DEB9" w14:textId="77777777" w:rsidTr="00EE68F9">
        <w:trPr>
          <w:trHeight w:val="300"/>
        </w:trPr>
        <w:tc>
          <w:tcPr>
            <w:tcW w:w="911" w:type="pct"/>
            <w:tcBorders>
              <w:top w:val="nil"/>
              <w:left w:val="nil"/>
              <w:bottom w:val="nil"/>
              <w:right w:val="nil"/>
            </w:tcBorders>
            <w:shd w:val="clear" w:color="auto" w:fill="auto"/>
            <w:noWrap/>
            <w:vAlign w:val="center"/>
            <w:hideMark/>
          </w:tcPr>
          <w:p w14:paraId="67593509"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691" w:type="pct"/>
            <w:tcBorders>
              <w:top w:val="nil"/>
              <w:left w:val="nil"/>
              <w:bottom w:val="nil"/>
              <w:right w:val="nil"/>
            </w:tcBorders>
            <w:shd w:val="clear" w:color="auto" w:fill="auto"/>
            <w:noWrap/>
            <w:vAlign w:val="center"/>
            <w:hideMark/>
          </w:tcPr>
          <w:p w14:paraId="6454781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-2304.26</w:t>
            </w:r>
          </w:p>
        </w:tc>
        <w:tc>
          <w:tcPr>
            <w:tcW w:w="577" w:type="pct"/>
            <w:tcBorders>
              <w:top w:val="nil"/>
              <w:left w:val="nil"/>
              <w:bottom w:val="nil"/>
              <w:right w:val="nil"/>
            </w:tcBorders>
            <w:shd w:val="clear" w:color="auto" w:fill="auto"/>
            <w:noWrap/>
            <w:vAlign w:val="center"/>
            <w:hideMark/>
          </w:tcPr>
          <w:p w14:paraId="178F80F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-4.48</w:t>
            </w:r>
          </w:p>
        </w:tc>
        <w:tc>
          <w:tcPr>
            <w:tcW w:w="574" w:type="pct"/>
            <w:tcBorders>
              <w:top w:val="nil"/>
              <w:left w:val="nil"/>
              <w:bottom w:val="nil"/>
              <w:right w:val="nil"/>
            </w:tcBorders>
            <w:shd w:val="clear" w:color="auto" w:fill="auto"/>
            <w:noWrap/>
            <w:vAlign w:val="center"/>
            <w:hideMark/>
          </w:tcPr>
          <w:p w14:paraId="77544F0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53.02</w:t>
            </w:r>
          </w:p>
        </w:tc>
        <w:tc>
          <w:tcPr>
            <w:tcW w:w="638" w:type="pct"/>
            <w:tcBorders>
              <w:top w:val="nil"/>
              <w:left w:val="nil"/>
              <w:bottom w:val="nil"/>
              <w:right w:val="nil"/>
            </w:tcBorders>
            <w:shd w:val="clear" w:color="auto" w:fill="auto"/>
            <w:noWrap/>
            <w:vAlign w:val="center"/>
            <w:hideMark/>
          </w:tcPr>
          <w:p w14:paraId="7869FAE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14CAF43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-2.55</w:t>
            </w:r>
          </w:p>
        </w:tc>
        <w:tc>
          <w:tcPr>
            <w:tcW w:w="557" w:type="pct"/>
            <w:tcBorders>
              <w:top w:val="nil"/>
              <w:left w:val="nil"/>
              <w:bottom w:val="nil"/>
              <w:right w:val="nil"/>
            </w:tcBorders>
            <w:shd w:val="clear" w:color="auto" w:fill="auto"/>
            <w:noWrap/>
            <w:vAlign w:val="center"/>
            <w:hideMark/>
          </w:tcPr>
          <w:p w14:paraId="4906BCE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-143.11</w:t>
            </w:r>
          </w:p>
        </w:tc>
        <w:tc>
          <w:tcPr>
            <w:tcW w:w="335" w:type="pct"/>
            <w:tcBorders>
              <w:top w:val="nil"/>
              <w:left w:val="nil"/>
              <w:bottom w:val="nil"/>
              <w:right w:val="nil"/>
            </w:tcBorders>
            <w:shd w:val="clear" w:color="auto" w:fill="auto"/>
            <w:noWrap/>
            <w:vAlign w:val="center"/>
            <w:hideMark/>
          </w:tcPr>
          <w:p w14:paraId="228A30E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0.54</w:t>
            </w:r>
          </w:p>
        </w:tc>
      </w:tr>
      <w:tr w:rsidR="00E37084" w:rsidRPr="00E37084" w14:paraId="44E77B9B" w14:textId="77777777" w:rsidTr="00EE68F9">
        <w:trPr>
          <w:trHeight w:val="300"/>
        </w:trPr>
        <w:tc>
          <w:tcPr>
            <w:tcW w:w="911" w:type="pct"/>
            <w:tcBorders>
              <w:top w:val="nil"/>
              <w:left w:val="nil"/>
              <w:bottom w:val="nil"/>
              <w:right w:val="nil"/>
            </w:tcBorders>
            <w:shd w:val="clear" w:color="auto" w:fill="auto"/>
            <w:noWrap/>
            <w:vAlign w:val="center"/>
            <w:hideMark/>
          </w:tcPr>
          <w:p w14:paraId="200424E5"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5A0815D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(0.62)</w:t>
            </w:r>
          </w:p>
        </w:tc>
        <w:tc>
          <w:tcPr>
            <w:tcW w:w="577" w:type="pct"/>
            <w:tcBorders>
              <w:top w:val="nil"/>
              <w:left w:val="nil"/>
              <w:bottom w:val="nil"/>
              <w:right w:val="nil"/>
            </w:tcBorders>
            <w:shd w:val="clear" w:color="auto" w:fill="auto"/>
            <w:noWrap/>
            <w:vAlign w:val="center"/>
            <w:hideMark/>
          </w:tcPr>
          <w:p w14:paraId="0339EEB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(0.07)</w:t>
            </w:r>
          </w:p>
        </w:tc>
        <w:tc>
          <w:tcPr>
            <w:tcW w:w="574" w:type="pct"/>
            <w:tcBorders>
              <w:top w:val="nil"/>
              <w:left w:val="nil"/>
              <w:bottom w:val="nil"/>
              <w:right w:val="nil"/>
            </w:tcBorders>
            <w:shd w:val="clear" w:color="auto" w:fill="auto"/>
            <w:noWrap/>
            <w:vAlign w:val="center"/>
            <w:hideMark/>
          </w:tcPr>
          <w:p w14:paraId="6087724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(0.25)</w:t>
            </w:r>
          </w:p>
        </w:tc>
        <w:tc>
          <w:tcPr>
            <w:tcW w:w="638" w:type="pct"/>
            <w:tcBorders>
              <w:top w:val="nil"/>
              <w:left w:val="nil"/>
              <w:bottom w:val="nil"/>
              <w:right w:val="nil"/>
            </w:tcBorders>
            <w:shd w:val="clear" w:color="auto" w:fill="auto"/>
            <w:noWrap/>
            <w:vAlign w:val="center"/>
            <w:hideMark/>
          </w:tcPr>
          <w:p w14:paraId="4738673D"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59DD5E4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(0.20)</w:t>
            </w:r>
          </w:p>
        </w:tc>
        <w:tc>
          <w:tcPr>
            <w:tcW w:w="557" w:type="pct"/>
            <w:tcBorders>
              <w:top w:val="nil"/>
              <w:left w:val="nil"/>
              <w:bottom w:val="nil"/>
              <w:right w:val="nil"/>
            </w:tcBorders>
            <w:shd w:val="clear" w:color="auto" w:fill="auto"/>
            <w:noWrap/>
            <w:vAlign w:val="center"/>
            <w:hideMark/>
          </w:tcPr>
          <w:p w14:paraId="1C76E92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(0.38)</w:t>
            </w:r>
          </w:p>
        </w:tc>
        <w:tc>
          <w:tcPr>
            <w:tcW w:w="335" w:type="pct"/>
            <w:tcBorders>
              <w:top w:val="nil"/>
              <w:left w:val="nil"/>
              <w:bottom w:val="nil"/>
              <w:right w:val="nil"/>
            </w:tcBorders>
            <w:shd w:val="clear" w:color="auto" w:fill="auto"/>
            <w:noWrap/>
            <w:vAlign w:val="center"/>
            <w:hideMark/>
          </w:tcPr>
          <w:p w14:paraId="18DBD783"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7172E657" w14:textId="77777777" w:rsidTr="00EE68F9">
        <w:trPr>
          <w:trHeight w:val="300"/>
        </w:trPr>
        <w:tc>
          <w:tcPr>
            <w:tcW w:w="911" w:type="pct"/>
            <w:tcBorders>
              <w:top w:val="nil"/>
              <w:left w:val="nil"/>
              <w:bottom w:val="nil"/>
              <w:right w:val="nil"/>
            </w:tcBorders>
            <w:shd w:val="clear" w:color="auto" w:fill="auto"/>
            <w:noWrap/>
            <w:vAlign w:val="center"/>
            <w:hideMark/>
          </w:tcPr>
          <w:p w14:paraId="7F7DB9EE"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691" w:type="pct"/>
            <w:tcBorders>
              <w:top w:val="nil"/>
              <w:left w:val="nil"/>
              <w:bottom w:val="nil"/>
              <w:right w:val="nil"/>
            </w:tcBorders>
            <w:shd w:val="clear" w:color="auto" w:fill="auto"/>
            <w:noWrap/>
            <w:vAlign w:val="center"/>
            <w:hideMark/>
          </w:tcPr>
          <w:p w14:paraId="1552CA6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226529.75*</w:t>
            </w:r>
          </w:p>
        </w:tc>
        <w:tc>
          <w:tcPr>
            <w:tcW w:w="577" w:type="pct"/>
            <w:tcBorders>
              <w:top w:val="nil"/>
              <w:left w:val="nil"/>
              <w:bottom w:val="nil"/>
              <w:right w:val="nil"/>
            </w:tcBorders>
            <w:shd w:val="clear" w:color="auto" w:fill="auto"/>
            <w:noWrap/>
            <w:vAlign w:val="center"/>
            <w:hideMark/>
          </w:tcPr>
          <w:p w14:paraId="242AF33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-202.98*</w:t>
            </w:r>
          </w:p>
        </w:tc>
        <w:tc>
          <w:tcPr>
            <w:tcW w:w="574" w:type="pct"/>
            <w:tcBorders>
              <w:top w:val="nil"/>
              <w:left w:val="nil"/>
              <w:bottom w:val="nil"/>
              <w:right w:val="nil"/>
            </w:tcBorders>
            <w:shd w:val="clear" w:color="auto" w:fill="auto"/>
            <w:noWrap/>
            <w:vAlign w:val="center"/>
            <w:hideMark/>
          </w:tcPr>
          <w:p w14:paraId="1EC2124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389.38</w:t>
            </w:r>
          </w:p>
        </w:tc>
        <w:tc>
          <w:tcPr>
            <w:tcW w:w="638" w:type="pct"/>
            <w:tcBorders>
              <w:top w:val="nil"/>
              <w:left w:val="nil"/>
              <w:bottom w:val="nil"/>
              <w:right w:val="nil"/>
            </w:tcBorders>
            <w:shd w:val="clear" w:color="auto" w:fill="auto"/>
            <w:noWrap/>
            <w:vAlign w:val="center"/>
            <w:hideMark/>
          </w:tcPr>
          <w:p w14:paraId="1643DA3A"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4417B1E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-160.36</w:t>
            </w:r>
          </w:p>
        </w:tc>
        <w:tc>
          <w:tcPr>
            <w:tcW w:w="557" w:type="pct"/>
            <w:tcBorders>
              <w:top w:val="nil"/>
              <w:left w:val="nil"/>
              <w:bottom w:val="nil"/>
              <w:right w:val="nil"/>
            </w:tcBorders>
            <w:shd w:val="clear" w:color="auto" w:fill="auto"/>
            <w:noWrap/>
            <w:vAlign w:val="center"/>
            <w:hideMark/>
          </w:tcPr>
          <w:p w14:paraId="5C107B5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-2949.23</w:t>
            </w:r>
          </w:p>
        </w:tc>
        <w:tc>
          <w:tcPr>
            <w:tcW w:w="335" w:type="pct"/>
            <w:tcBorders>
              <w:top w:val="nil"/>
              <w:left w:val="nil"/>
              <w:bottom w:val="nil"/>
              <w:right w:val="nil"/>
            </w:tcBorders>
            <w:shd w:val="clear" w:color="auto" w:fill="auto"/>
            <w:noWrap/>
            <w:vAlign w:val="center"/>
            <w:hideMark/>
          </w:tcPr>
          <w:p w14:paraId="7F5816E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0.75</w:t>
            </w:r>
          </w:p>
        </w:tc>
      </w:tr>
      <w:tr w:rsidR="00E37084" w:rsidRPr="00E37084" w14:paraId="7E55D12F" w14:textId="77777777" w:rsidTr="00EE68F9">
        <w:trPr>
          <w:trHeight w:val="300"/>
        </w:trPr>
        <w:tc>
          <w:tcPr>
            <w:tcW w:w="911" w:type="pct"/>
            <w:tcBorders>
              <w:top w:val="nil"/>
              <w:left w:val="nil"/>
              <w:bottom w:val="nil"/>
              <w:right w:val="nil"/>
            </w:tcBorders>
            <w:shd w:val="clear" w:color="auto" w:fill="auto"/>
            <w:noWrap/>
            <w:vAlign w:val="center"/>
            <w:hideMark/>
          </w:tcPr>
          <w:p w14:paraId="5FFB9CC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91" w:type="pct"/>
            <w:tcBorders>
              <w:top w:val="nil"/>
              <w:left w:val="nil"/>
              <w:bottom w:val="nil"/>
              <w:right w:val="nil"/>
            </w:tcBorders>
            <w:shd w:val="clear" w:color="auto" w:fill="auto"/>
            <w:noWrap/>
            <w:vAlign w:val="center"/>
            <w:hideMark/>
          </w:tcPr>
          <w:p w14:paraId="52B9696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77" w:type="pct"/>
            <w:tcBorders>
              <w:top w:val="nil"/>
              <w:left w:val="nil"/>
              <w:bottom w:val="nil"/>
              <w:right w:val="nil"/>
            </w:tcBorders>
            <w:shd w:val="clear" w:color="auto" w:fill="auto"/>
            <w:noWrap/>
            <w:vAlign w:val="center"/>
            <w:hideMark/>
          </w:tcPr>
          <w:p w14:paraId="2E0DBE0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(0.02)</w:t>
            </w:r>
          </w:p>
        </w:tc>
        <w:tc>
          <w:tcPr>
            <w:tcW w:w="574" w:type="pct"/>
            <w:tcBorders>
              <w:top w:val="nil"/>
              <w:left w:val="nil"/>
              <w:bottom w:val="nil"/>
              <w:right w:val="nil"/>
            </w:tcBorders>
            <w:shd w:val="clear" w:color="auto" w:fill="auto"/>
            <w:noWrap/>
            <w:vAlign w:val="center"/>
            <w:hideMark/>
          </w:tcPr>
          <w:p w14:paraId="604101E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(0.60)</w:t>
            </w:r>
          </w:p>
        </w:tc>
        <w:tc>
          <w:tcPr>
            <w:tcW w:w="638" w:type="pct"/>
            <w:tcBorders>
              <w:top w:val="nil"/>
              <w:left w:val="nil"/>
              <w:bottom w:val="nil"/>
              <w:right w:val="nil"/>
            </w:tcBorders>
            <w:shd w:val="clear" w:color="auto" w:fill="auto"/>
            <w:noWrap/>
            <w:vAlign w:val="center"/>
            <w:hideMark/>
          </w:tcPr>
          <w:p w14:paraId="38F35E4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6B739AD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(0.05)</w:t>
            </w:r>
          </w:p>
        </w:tc>
        <w:tc>
          <w:tcPr>
            <w:tcW w:w="557" w:type="pct"/>
            <w:tcBorders>
              <w:top w:val="nil"/>
              <w:left w:val="nil"/>
              <w:bottom w:val="nil"/>
              <w:right w:val="nil"/>
            </w:tcBorders>
            <w:shd w:val="clear" w:color="auto" w:fill="auto"/>
            <w:noWrap/>
            <w:vAlign w:val="center"/>
            <w:hideMark/>
          </w:tcPr>
          <w:p w14:paraId="4D07D88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(0.60)</w:t>
            </w:r>
          </w:p>
        </w:tc>
        <w:tc>
          <w:tcPr>
            <w:tcW w:w="335" w:type="pct"/>
            <w:tcBorders>
              <w:top w:val="nil"/>
              <w:left w:val="nil"/>
              <w:bottom w:val="nil"/>
              <w:right w:val="nil"/>
            </w:tcBorders>
            <w:shd w:val="clear" w:color="auto" w:fill="auto"/>
            <w:noWrap/>
            <w:vAlign w:val="center"/>
            <w:hideMark/>
          </w:tcPr>
          <w:p w14:paraId="410BD777"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2C8414EC" w14:textId="77777777" w:rsidTr="00EE68F9">
        <w:trPr>
          <w:trHeight w:val="300"/>
        </w:trPr>
        <w:tc>
          <w:tcPr>
            <w:tcW w:w="911" w:type="pct"/>
            <w:tcBorders>
              <w:top w:val="nil"/>
              <w:left w:val="nil"/>
              <w:bottom w:val="nil"/>
              <w:right w:val="nil"/>
            </w:tcBorders>
            <w:shd w:val="clear" w:color="auto" w:fill="auto"/>
            <w:noWrap/>
            <w:vAlign w:val="center"/>
            <w:hideMark/>
          </w:tcPr>
          <w:p w14:paraId="3D46F9ED"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691" w:type="pct"/>
            <w:tcBorders>
              <w:top w:val="nil"/>
              <w:left w:val="nil"/>
              <w:bottom w:val="nil"/>
              <w:right w:val="nil"/>
            </w:tcBorders>
            <w:shd w:val="clear" w:color="auto" w:fill="auto"/>
            <w:noWrap/>
            <w:vAlign w:val="center"/>
            <w:hideMark/>
          </w:tcPr>
          <w:p w14:paraId="66EECAB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35169.81</w:t>
            </w:r>
          </w:p>
        </w:tc>
        <w:tc>
          <w:tcPr>
            <w:tcW w:w="577" w:type="pct"/>
            <w:tcBorders>
              <w:top w:val="nil"/>
              <w:left w:val="nil"/>
              <w:bottom w:val="nil"/>
              <w:right w:val="nil"/>
            </w:tcBorders>
            <w:shd w:val="clear" w:color="auto" w:fill="auto"/>
            <w:noWrap/>
            <w:vAlign w:val="center"/>
            <w:hideMark/>
          </w:tcPr>
          <w:p w14:paraId="71E2E11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-73.14</w:t>
            </w:r>
          </w:p>
        </w:tc>
        <w:tc>
          <w:tcPr>
            <w:tcW w:w="574" w:type="pct"/>
            <w:tcBorders>
              <w:top w:val="nil"/>
              <w:left w:val="nil"/>
              <w:bottom w:val="nil"/>
              <w:right w:val="nil"/>
            </w:tcBorders>
            <w:shd w:val="clear" w:color="auto" w:fill="auto"/>
            <w:noWrap/>
            <w:vAlign w:val="center"/>
            <w:hideMark/>
          </w:tcPr>
          <w:p w14:paraId="27E1DB5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259.72</w:t>
            </w:r>
          </w:p>
        </w:tc>
        <w:tc>
          <w:tcPr>
            <w:tcW w:w="638" w:type="pct"/>
            <w:tcBorders>
              <w:top w:val="nil"/>
              <w:left w:val="nil"/>
              <w:bottom w:val="nil"/>
              <w:right w:val="nil"/>
            </w:tcBorders>
            <w:shd w:val="clear" w:color="auto" w:fill="auto"/>
            <w:noWrap/>
            <w:vAlign w:val="center"/>
            <w:hideMark/>
          </w:tcPr>
          <w:p w14:paraId="1EA8641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17" w:type="pct"/>
            <w:tcBorders>
              <w:top w:val="nil"/>
              <w:left w:val="nil"/>
              <w:bottom w:val="nil"/>
              <w:right w:val="nil"/>
            </w:tcBorders>
            <w:shd w:val="clear" w:color="auto" w:fill="auto"/>
            <w:noWrap/>
            <w:vAlign w:val="center"/>
            <w:hideMark/>
          </w:tcPr>
          <w:p w14:paraId="3D1369E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-60.32</w:t>
            </w:r>
          </w:p>
        </w:tc>
        <w:tc>
          <w:tcPr>
            <w:tcW w:w="557" w:type="pct"/>
            <w:tcBorders>
              <w:top w:val="nil"/>
              <w:left w:val="nil"/>
              <w:bottom w:val="nil"/>
              <w:right w:val="nil"/>
            </w:tcBorders>
            <w:shd w:val="clear" w:color="auto" w:fill="auto"/>
            <w:noWrap/>
            <w:vAlign w:val="center"/>
            <w:hideMark/>
          </w:tcPr>
          <w:p w14:paraId="2CD3276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760.24</w:t>
            </w:r>
          </w:p>
        </w:tc>
        <w:tc>
          <w:tcPr>
            <w:tcW w:w="335" w:type="pct"/>
            <w:tcBorders>
              <w:top w:val="nil"/>
              <w:left w:val="nil"/>
              <w:bottom w:val="nil"/>
              <w:right w:val="nil"/>
            </w:tcBorders>
            <w:shd w:val="clear" w:color="auto" w:fill="auto"/>
            <w:noWrap/>
            <w:vAlign w:val="center"/>
            <w:hideMark/>
          </w:tcPr>
          <w:p w14:paraId="3B9A60E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0.57</w:t>
            </w:r>
          </w:p>
        </w:tc>
      </w:tr>
      <w:tr w:rsidR="00E37084" w:rsidRPr="00E37084" w14:paraId="55D1E656" w14:textId="77777777" w:rsidTr="00EE68F9">
        <w:trPr>
          <w:trHeight w:val="300"/>
        </w:trPr>
        <w:tc>
          <w:tcPr>
            <w:tcW w:w="911" w:type="pct"/>
            <w:tcBorders>
              <w:top w:val="nil"/>
              <w:left w:val="nil"/>
              <w:bottom w:val="single" w:sz="4" w:space="0" w:color="auto"/>
              <w:right w:val="nil"/>
            </w:tcBorders>
            <w:shd w:val="clear" w:color="auto" w:fill="auto"/>
            <w:noWrap/>
            <w:vAlign w:val="center"/>
            <w:hideMark/>
          </w:tcPr>
          <w:p w14:paraId="62237281"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691" w:type="pct"/>
            <w:tcBorders>
              <w:top w:val="nil"/>
              <w:left w:val="nil"/>
              <w:bottom w:val="single" w:sz="4" w:space="0" w:color="auto"/>
              <w:right w:val="nil"/>
            </w:tcBorders>
            <w:shd w:val="clear" w:color="auto" w:fill="auto"/>
            <w:noWrap/>
            <w:vAlign w:val="center"/>
            <w:hideMark/>
          </w:tcPr>
          <w:p w14:paraId="04ECB7B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(0.69)</w:t>
            </w:r>
          </w:p>
        </w:tc>
        <w:tc>
          <w:tcPr>
            <w:tcW w:w="577" w:type="pct"/>
            <w:tcBorders>
              <w:top w:val="nil"/>
              <w:left w:val="nil"/>
              <w:bottom w:val="single" w:sz="4" w:space="0" w:color="auto"/>
              <w:right w:val="nil"/>
            </w:tcBorders>
            <w:shd w:val="clear" w:color="auto" w:fill="auto"/>
            <w:noWrap/>
            <w:vAlign w:val="center"/>
            <w:hideMark/>
          </w:tcPr>
          <w:p w14:paraId="08510D8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(0.56)</w:t>
            </w:r>
          </w:p>
        </w:tc>
        <w:tc>
          <w:tcPr>
            <w:tcW w:w="574" w:type="pct"/>
            <w:tcBorders>
              <w:top w:val="nil"/>
              <w:left w:val="nil"/>
              <w:bottom w:val="single" w:sz="4" w:space="0" w:color="auto"/>
              <w:right w:val="nil"/>
            </w:tcBorders>
            <w:shd w:val="clear" w:color="auto" w:fill="auto"/>
            <w:noWrap/>
            <w:vAlign w:val="center"/>
            <w:hideMark/>
          </w:tcPr>
          <w:p w14:paraId="288094F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(0.71)</w:t>
            </w:r>
          </w:p>
        </w:tc>
        <w:tc>
          <w:tcPr>
            <w:tcW w:w="638" w:type="pct"/>
            <w:tcBorders>
              <w:top w:val="nil"/>
              <w:left w:val="nil"/>
              <w:bottom w:val="single" w:sz="4" w:space="0" w:color="auto"/>
              <w:right w:val="nil"/>
            </w:tcBorders>
            <w:shd w:val="clear" w:color="auto" w:fill="auto"/>
            <w:noWrap/>
            <w:vAlign w:val="center"/>
            <w:hideMark/>
          </w:tcPr>
          <w:p w14:paraId="67DE8B0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17" w:type="pct"/>
            <w:tcBorders>
              <w:top w:val="nil"/>
              <w:left w:val="nil"/>
              <w:bottom w:val="single" w:sz="4" w:space="0" w:color="auto"/>
              <w:right w:val="nil"/>
            </w:tcBorders>
            <w:shd w:val="clear" w:color="auto" w:fill="auto"/>
            <w:noWrap/>
            <w:vAlign w:val="center"/>
            <w:hideMark/>
          </w:tcPr>
          <w:p w14:paraId="5F89B06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(0.07)</w:t>
            </w:r>
          </w:p>
        </w:tc>
        <w:tc>
          <w:tcPr>
            <w:tcW w:w="557" w:type="pct"/>
            <w:tcBorders>
              <w:top w:val="nil"/>
              <w:left w:val="nil"/>
              <w:bottom w:val="single" w:sz="4" w:space="0" w:color="auto"/>
              <w:right w:val="nil"/>
            </w:tcBorders>
            <w:shd w:val="clear" w:color="auto" w:fill="auto"/>
            <w:noWrap/>
            <w:vAlign w:val="center"/>
            <w:hideMark/>
          </w:tcPr>
          <w:p w14:paraId="4041B6E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(0.67)</w:t>
            </w:r>
          </w:p>
        </w:tc>
        <w:tc>
          <w:tcPr>
            <w:tcW w:w="335" w:type="pct"/>
            <w:tcBorders>
              <w:top w:val="nil"/>
              <w:left w:val="nil"/>
              <w:bottom w:val="single" w:sz="4" w:space="0" w:color="auto"/>
              <w:right w:val="nil"/>
            </w:tcBorders>
            <w:shd w:val="clear" w:color="auto" w:fill="auto"/>
            <w:noWrap/>
            <w:vAlign w:val="center"/>
            <w:hideMark/>
          </w:tcPr>
          <w:p w14:paraId="3412F1C5"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76835340" w14:textId="2516F181" w:rsidR="006574BC" w:rsidRDefault="00EE68F9" w:rsidP="00777422">
      <w:pPr>
        <w:pStyle w:val="Notesourcetext"/>
      </w:pPr>
      <w:r>
        <w:t>Note: * denotes significance at the 95% level</w:t>
      </w:r>
    </w:p>
    <w:p w14:paraId="271DA38E" w14:textId="77777777" w:rsidR="006574BC" w:rsidRPr="006574BC" w:rsidRDefault="006574BC" w:rsidP="006574BC">
      <w:pPr>
        <w:pStyle w:val="BodyText1"/>
      </w:pPr>
    </w:p>
    <w:p w14:paraId="3718483E" w14:textId="77777777" w:rsidR="007559C7" w:rsidRDefault="007559C7">
      <w:pPr>
        <w:spacing w:after="0" w:line="240" w:lineRule="auto"/>
      </w:pPr>
      <w:r>
        <w:br w:type="page"/>
      </w:r>
    </w:p>
    <w:p w14:paraId="39983B34" w14:textId="77777777" w:rsidR="00670D13" w:rsidRDefault="00670D13" w:rsidP="005E760D">
      <w:pPr>
        <w:pStyle w:val="BodyText1"/>
        <w:rPr>
          <w:rFonts w:asciiTheme="minorHAnsi" w:hAnsiTheme="minorHAnsi"/>
          <w:b/>
          <w:bCs/>
          <w:color w:val="808080" w:themeColor="background1" w:themeShade="80"/>
          <w:sz w:val="24"/>
          <w:szCs w:val="18"/>
        </w:rPr>
      </w:pPr>
      <w:bookmarkStart w:id="60" w:name="_Ref486528757"/>
      <w:bookmarkStart w:id="61" w:name="_Toc491356917"/>
      <w:bookmarkStart w:id="62" w:name="_Toc505345895"/>
      <w:r w:rsidRPr="005E760D">
        <w:rPr>
          <w:rFonts w:asciiTheme="minorHAnsi" w:hAnsiTheme="minorHAnsi"/>
          <w:b/>
          <w:bCs/>
          <w:color w:val="808080" w:themeColor="background1" w:themeShade="80"/>
          <w:sz w:val="24"/>
          <w:szCs w:val="18"/>
        </w:rPr>
        <w:lastRenderedPageBreak/>
        <w:t xml:space="preserve">Table </w:t>
      </w:r>
      <w:r w:rsidR="00915ABD" w:rsidRPr="005E760D">
        <w:rPr>
          <w:rFonts w:asciiTheme="minorHAnsi" w:hAnsiTheme="minorHAnsi"/>
          <w:b/>
          <w:bCs/>
          <w:color w:val="808080" w:themeColor="background1" w:themeShade="80"/>
          <w:sz w:val="24"/>
          <w:szCs w:val="18"/>
        </w:rPr>
        <w:fldChar w:fldCharType="begin"/>
      </w:r>
      <w:r w:rsidRPr="005E760D">
        <w:rPr>
          <w:rFonts w:asciiTheme="minorHAnsi" w:hAnsiTheme="minorHAnsi"/>
          <w:b/>
          <w:bCs/>
          <w:color w:val="808080" w:themeColor="background1" w:themeShade="80"/>
          <w:sz w:val="24"/>
          <w:szCs w:val="18"/>
        </w:rPr>
        <w:instrText xml:space="preserve"> SEQ Table \* ARABIC </w:instrText>
      </w:r>
      <w:r w:rsidR="00915ABD" w:rsidRPr="005E760D">
        <w:rPr>
          <w:rFonts w:asciiTheme="minorHAnsi" w:hAnsiTheme="minorHAnsi"/>
          <w:b/>
          <w:bCs/>
          <w:color w:val="808080" w:themeColor="background1" w:themeShade="80"/>
          <w:sz w:val="24"/>
          <w:szCs w:val="18"/>
        </w:rPr>
        <w:fldChar w:fldCharType="separate"/>
      </w:r>
      <w:r w:rsidR="00F709AB">
        <w:rPr>
          <w:rFonts w:asciiTheme="minorHAnsi" w:hAnsiTheme="minorHAnsi"/>
          <w:b/>
          <w:bCs/>
          <w:noProof/>
          <w:color w:val="808080" w:themeColor="background1" w:themeShade="80"/>
          <w:sz w:val="24"/>
          <w:szCs w:val="18"/>
        </w:rPr>
        <w:t>12</w:t>
      </w:r>
      <w:r w:rsidR="00915ABD" w:rsidRPr="005E760D">
        <w:rPr>
          <w:rFonts w:asciiTheme="minorHAnsi" w:hAnsiTheme="minorHAnsi"/>
          <w:b/>
          <w:bCs/>
          <w:color w:val="808080" w:themeColor="background1" w:themeShade="80"/>
          <w:sz w:val="24"/>
          <w:szCs w:val="18"/>
        </w:rPr>
        <w:fldChar w:fldCharType="end"/>
      </w:r>
      <w:bookmarkEnd w:id="60"/>
      <w:r w:rsidRPr="005E760D">
        <w:rPr>
          <w:rFonts w:asciiTheme="minorHAnsi" w:hAnsiTheme="minorHAnsi"/>
          <w:b/>
          <w:bCs/>
          <w:color w:val="808080" w:themeColor="background1" w:themeShade="80"/>
          <w:sz w:val="24"/>
          <w:szCs w:val="18"/>
        </w:rPr>
        <w:t xml:space="preserve"> Regression results for land use by irrigation activity, VIC Loddon-Campaspe</w:t>
      </w:r>
      <w:bookmarkEnd w:id="61"/>
      <w:bookmarkEnd w:id="62"/>
    </w:p>
    <w:tbl>
      <w:tblPr>
        <w:tblW w:w="5000" w:type="pct"/>
        <w:tblLook w:val="04A0" w:firstRow="1" w:lastRow="0" w:firstColumn="1" w:lastColumn="0" w:noHBand="0" w:noVBand="1"/>
      </w:tblPr>
      <w:tblGrid>
        <w:gridCol w:w="1673"/>
        <w:gridCol w:w="1157"/>
        <w:gridCol w:w="1063"/>
        <w:gridCol w:w="1058"/>
        <w:gridCol w:w="1174"/>
        <w:gridCol w:w="1319"/>
        <w:gridCol w:w="1009"/>
        <w:gridCol w:w="617"/>
      </w:tblGrid>
      <w:tr w:rsidR="00E37084" w:rsidRPr="00E37084" w14:paraId="3A862729" w14:textId="77777777" w:rsidTr="00EE68F9">
        <w:trPr>
          <w:trHeight w:val="510"/>
        </w:trPr>
        <w:tc>
          <w:tcPr>
            <w:tcW w:w="922" w:type="pct"/>
            <w:tcBorders>
              <w:top w:val="single" w:sz="4" w:space="0" w:color="auto"/>
              <w:left w:val="nil"/>
              <w:bottom w:val="single" w:sz="4" w:space="0" w:color="auto"/>
              <w:right w:val="nil"/>
            </w:tcBorders>
            <w:shd w:val="clear" w:color="auto" w:fill="auto"/>
            <w:noWrap/>
            <w:vAlign w:val="center"/>
            <w:hideMark/>
          </w:tcPr>
          <w:p w14:paraId="378A3D66" w14:textId="77777777" w:rsidR="00E37084" w:rsidRPr="00E37084" w:rsidRDefault="00E37084" w:rsidP="00E37084">
            <w:pPr>
              <w:spacing w:after="0" w:line="240" w:lineRule="auto"/>
              <w:rPr>
                <w:rFonts w:eastAsia="Times New Roman"/>
                <w:b/>
                <w:bCs/>
                <w:color w:val="000000"/>
                <w:sz w:val="19"/>
                <w:szCs w:val="19"/>
                <w:lang w:eastAsia="en-AU"/>
              </w:rPr>
            </w:pPr>
            <w:r w:rsidRPr="00E37084">
              <w:rPr>
                <w:rFonts w:eastAsia="Times New Roman"/>
                <w:b/>
                <w:bCs/>
                <w:color w:val="000000"/>
                <w:sz w:val="19"/>
                <w:szCs w:val="19"/>
                <w:lang w:eastAsia="en-AU"/>
              </w:rPr>
              <w:t>Industry</w:t>
            </w:r>
          </w:p>
        </w:tc>
        <w:tc>
          <w:tcPr>
            <w:tcW w:w="638" w:type="pct"/>
            <w:tcBorders>
              <w:top w:val="single" w:sz="4" w:space="0" w:color="auto"/>
              <w:left w:val="nil"/>
              <w:bottom w:val="single" w:sz="4" w:space="0" w:color="auto"/>
              <w:right w:val="nil"/>
            </w:tcBorders>
            <w:shd w:val="clear" w:color="auto" w:fill="auto"/>
            <w:noWrap/>
            <w:vAlign w:val="center"/>
            <w:hideMark/>
          </w:tcPr>
          <w:p w14:paraId="4D624EBE"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Constant</w:t>
            </w:r>
          </w:p>
        </w:tc>
        <w:tc>
          <w:tcPr>
            <w:tcW w:w="586" w:type="pct"/>
            <w:tcBorders>
              <w:top w:val="single" w:sz="4" w:space="0" w:color="auto"/>
              <w:left w:val="nil"/>
              <w:bottom w:val="single" w:sz="4" w:space="0" w:color="auto"/>
              <w:right w:val="nil"/>
            </w:tcBorders>
            <w:shd w:val="clear" w:color="auto" w:fill="auto"/>
            <w:noWrap/>
            <w:vAlign w:val="center"/>
            <w:hideMark/>
          </w:tcPr>
          <w:p w14:paraId="4F739CF3"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Price (P)</w:t>
            </w:r>
          </w:p>
        </w:tc>
        <w:tc>
          <w:tcPr>
            <w:tcW w:w="583" w:type="pct"/>
            <w:tcBorders>
              <w:top w:val="single" w:sz="4" w:space="0" w:color="auto"/>
              <w:left w:val="nil"/>
              <w:bottom w:val="single" w:sz="4" w:space="0" w:color="auto"/>
              <w:right w:val="nil"/>
            </w:tcBorders>
            <w:shd w:val="clear" w:color="auto" w:fill="auto"/>
            <w:vAlign w:val="center"/>
            <w:hideMark/>
          </w:tcPr>
          <w:p w14:paraId="2158EC86"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Output </w:t>
            </w:r>
            <w:r w:rsidRPr="00E37084">
              <w:rPr>
                <w:rFonts w:eastAsia="Times New Roman"/>
                <w:b/>
                <w:bCs/>
                <w:color w:val="000000"/>
                <w:sz w:val="19"/>
                <w:szCs w:val="19"/>
                <w:lang w:eastAsia="en-AU"/>
              </w:rPr>
              <w:br/>
              <w:t>price (Y)</w:t>
            </w:r>
          </w:p>
        </w:tc>
        <w:tc>
          <w:tcPr>
            <w:tcW w:w="647" w:type="pct"/>
            <w:tcBorders>
              <w:top w:val="single" w:sz="4" w:space="0" w:color="auto"/>
              <w:left w:val="nil"/>
              <w:bottom w:val="single" w:sz="4" w:space="0" w:color="auto"/>
              <w:right w:val="nil"/>
            </w:tcBorders>
            <w:shd w:val="clear" w:color="auto" w:fill="auto"/>
            <w:vAlign w:val="center"/>
            <w:hideMark/>
          </w:tcPr>
          <w:p w14:paraId="6B7686C7"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 xml:space="preserve">Cotton </w:t>
            </w:r>
            <w:r w:rsidRPr="00E37084">
              <w:rPr>
                <w:rFonts w:eastAsia="Times New Roman"/>
                <w:b/>
                <w:bCs/>
                <w:color w:val="000000"/>
                <w:sz w:val="19"/>
                <w:szCs w:val="19"/>
                <w:lang w:eastAsia="en-AU"/>
              </w:rPr>
              <w:br/>
              <w:t>price (CY)</w:t>
            </w:r>
          </w:p>
        </w:tc>
        <w:tc>
          <w:tcPr>
            <w:tcW w:w="727" w:type="pct"/>
            <w:tcBorders>
              <w:top w:val="single" w:sz="4" w:space="0" w:color="auto"/>
              <w:left w:val="nil"/>
              <w:bottom w:val="single" w:sz="4" w:space="0" w:color="auto"/>
              <w:right w:val="nil"/>
            </w:tcBorders>
            <w:shd w:val="clear" w:color="auto" w:fill="auto"/>
            <w:noWrap/>
            <w:vAlign w:val="center"/>
            <w:hideMark/>
          </w:tcPr>
          <w:p w14:paraId="3D1D5FAD"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Rainfall (R)</w:t>
            </w:r>
          </w:p>
        </w:tc>
        <w:tc>
          <w:tcPr>
            <w:tcW w:w="556" w:type="pct"/>
            <w:tcBorders>
              <w:top w:val="single" w:sz="4" w:space="0" w:color="auto"/>
              <w:left w:val="nil"/>
              <w:bottom w:val="single" w:sz="4" w:space="0" w:color="auto"/>
              <w:right w:val="nil"/>
            </w:tcBorders>
            <w:shd w:val="clear" w:color="auto" w:fill="auto"/>
            <w:noWrap/>
            <w:vAlign w:val="center"/>
            <w:hideMark/>
          </w:tcPr>
          <w:p w14:paraId="2AEC5288"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Time (t)</w:t>
            </w:r>
          </w:p>
        </w:tc>
        <w:tc>
          <w:tcPr>
            <w:tcW w:w="340" w:type="pct"/>
            <w:tcBorders>
              <w:top w:val="single" w:sz="4" w:space="0" w:color="auto"/>
              <w:left w:val="nil"/>
              <w:bottom w:val="single" w:sz="4" w:space="0" w:color="auto"/>
              <w:right w:val="nil"/>
            </w:tcBorders>
            <w:shd w:val="clear" w:color="auto" w:fill="auto"/>
            <w:noWrap/>
            <w:vAlign w:val="center"/>
            <w:hideMark/>
          </w:tcPr>
          <w:p w14:paraId="4726E759" w14:textId="77777777" w:rsidR="00E37084" w:rsidRPr="00E37084" w:rsidRDefault="00E37084" w:rsidP="00E37084">
            <w:pPr>
              <w:spacing w:after="0" w:line="240" w:lineRule="auto"/>
              <w:jc w:val="right"/>
              <w:rPr>
                <w:rFonts w:eastAsia="Times New Roman"/>
                <w:b/>
                <w:bCs/>
                <w:color w:val="000000"/>
                <w:sz w:val="19"/>
                <w:szCs w:val="19"/>
                <w:lang w:eastAsia="en-AU"/>
              </w:rPr>
            </w:pPr>
            <w:r w:rsidRPr="00E37084">
              <w:rPr>
                <w:rFonts w:eastAsia="Times New Roman"/>
                <w:b/>
                <w:bCs/>
                <w:color w:val="000000"/>
                <w:sz w:val="19"/>
                <w:szCs w:val="19"/>
                <w:lang w:eastAsia="en-AU"/>
              </w:rPr>
              <w:t>R</w:t>
            </w:r>
            <w:r w:rsidRPr="00E37084">
              <w:rPr>
                <w:rFonts w:eastAsia="Times New Roman"/>
                <w:b/>
                <w:bCs/>
                <w:color w:val="000000"/>
                <w:sz w:val="19"/>
                <w:szCs w:val="19"/>
                <w:vertAlign w:val="superscript"/>
                <w:lang w:eastAsia="en-AU"/>
              </w:rPr>
              <w:t>2</w:t>
            </w:r>
          </w:p>
        </w:tc>
      </w:tr>
      <w:tr w:rsidR="00E37084" w:rsidRPr="00E37084" w14:paraId="1148CEFE" w14:textId="77777777" w:rsidTr="00EE68F9">
        <w:trPr>
          <w:trHeight w:val="300"/>
        </w:trPr>
        <w:tc>
          <w:tcPr>
            <w:tcW w:w="922" w:type="pct"/>
            <w:tcBorders>
              <w:top w:val="nil"/>
              <w:left w:val="nil"/>
              <w:bottom w:val="nil"/>
              <w:right w:val="nil"/>
            </w:tcBorders>
            <w:shd w:val="clear" w:color="auto" w:fill="auto"/>
            <w:noWrap/>
            <w:vAlign w:val="center"/>
            <w:hideMark/>
          </w:tcPr>
          <w:p w14:paraId="479923F7"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Cotton-Rice</w:t>
            </w:r>
          </w:p>
        </w:tc>
        <w:tc>
          <w:tcPr>
            <w:tcW w:w="638" w:type="pct"/>
            <w:tcBorders>
              <w:top w:val="nil"/>
              <w:left w:val="nil"/>
              <w:bottom w:val="nil"/>
              <w:right w:val="nil"/>
            </w:tcBorders>
            <w:shd w:val="clear" w:color="auto" w:fill="auto"/>
            <w:noWrap/>
            <w:vAlign w:val="center"/>
            <w:hideMark/>
          </w:tcPr>
          <w:p w14:paraId="59058CE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-300.77</w:t>
            </w:r>
          </w:p>
        </w:tc>
        <w:tc>
          <w:tcPr>
            <w:tcW w:w="586" w:type="pct"/>
            <w:tcBorders>
              <w:top w:val="nil"/>
              <w:left w:val="nil"/>
              <w:bottom w:val="nil"/>
              <w:right w:val="nil"/>
            </w:tcBorders>
            <w:shd w:val="clear" w:color="auto" w:fill="auto"/>
            <w:noWrap/>
            <w:vAlign w:val="center"/>
            <w:hideMark/>
          </w:tcPr>
          <w:p w14:paraId="44FC43E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-0.08</w:t>
            </w:r>
          </w:p>
        </w:tc>
        <w:tc>
          <w:tcPr>
            <w:tcW w:w="583" w:type="pct"/>
            <w:tcBorders>
              <w:top w:val="nil"/>
              <w:left w:val="nil"/>
              <w:bottom w:val="nil"/>
              <w:right w:val="nil"/>
            </w:tcBorders>
            <w:shd w:val="clear" w:color="auto" w:fill="auto"/>
            <w:noWrap/>
            <w:vAlign w:val="center"/>
            <w:hideMark/>
          </w:tcPr>
          <w:p w14:paraId="1CC5CCA9"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6B493DC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4.80</w:t>
            </w:r>
          </w:p>
        </w:tc>
        <w:tc>
          <w:tcPr>
            <w:tcW w:w="727" w:type="pct"/>
            <w:tcBorders>
              <w:top w:val="nil"/>
              <w:left w:val="nil"/>
              <w:bottom w:val="nil"/>
              <w:right w:val="nil"/>
            </w:tcBorders>
            <w:shd w:val="clear" w:color="auto" w:fill="auto"/>
            <w:noWrap/>
            <w:vAlign w:val="center"/>
            <w:hideMark/>
          </w:tcPr>
          <w:p w14:paraId="73D3884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556" w:type="pct"/>
            <w:tcBorders>
              <w:top w:val="nil"/>
              <w:left w:val="nil"/>
              <w:bottom w:val="nil"/>
              <w:right w:val="nil"/>
            </w:tcBorders>
            <w:shd w:val="clear" w:color="auto" w:fill="auto"/>
            <w:noWrap/>
            <w:vAlign w:val="center"/>
            <w:hideMark/>
          </w:tcPr>
          <w:p w14:paraId="151F0FC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-11.60</w:t>
            </w:r>
          </w:p>
        </w:tc>
        <w:tc>
          <w:tcPr>
            <w:tcW w:w="340" w:type="pct"/>
            <w:tcBorders>
              <w:top w:val="nil"/>
              <w:left w:val="nil"/>
              <w:bottom w:val="nil"/>
              <w:right w:val="nil"/>
            </w:tcBorders>
            <w:shd w:val="clear" w:color="auto" w:fill="auto"/>
            <w:noWrap/>
            <w:vAlign w:val="center"/>
            <w:hideMark/>
          </w:tcPr>
          <w:p w14:paraId="63AD7AB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0.63</w:t>
            </w:r>
          </w:p>
        </w:tc>
      </w:tr>
      <w:tr w:rsidR="00E37084" w:rsidRPr="00E37084" w14:paraId="7C7D3349" w14:textId="77777777" w:rsidTr="00EE68F9">
        <w:trPr>
          <w:trHeight w:val="300"/>
        </w:trPr>
        <w:tc>
          <w:tcPr>
            <w:tcW w:w="922" w:type="pct"/>
            <w:tcBorders>
              <w:top w:val="nil"/>
              <w:left w:val="nil"/>
              <w:bottom w:val="nil"/>
              <w:right w:val="nil"/>
            </w:tcBorders>
            <w:shd w:val="clear" w:color="auto" w:fill="auto"/>
            <w:noWrap/>
            <w:vAlign w:val="center"/>
            <w:hideMark/>
          </w:tcPr>
          <w:p w14:paraId="31398EF6"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082E3F0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(0.09)</w:t>
            </w:r>
          </w:p>
        </w:tc>
        <w:tc>
          <w:tcPr>
            <w:tcW w:w="586" w:type="pct"/>
            <w:tcBorders>
              <w:top w:val="nil"/>
              <w:left w:val="nil"/>
              <w:bottom w:val="nil"/>
              <w:right w:val="nil"/>
            </w:tcBorders>
            <w:shd w:val="clear" w:color="auto" w:fill="auto"/>
            <w:noWrap/>
            <w:vAlign w:val="center"/>
            <w:hideMark/>
          </w:tcPr>
          <w:p w14:paraId="7135745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(0.19)</w:t>
            </w:r>
          </w:p>
        </w:tc>
        <w:tc>
          <w:tcPr>
            <w:tcW w:w="583" w:type="pct"/>
            <w:tcBorders>
              <w:top w:val="nil"/>
              <w:left w:val="nil"/>
              <w:bottom w:val="nil"/>
              <w:right w:val="nil"/>
            </w:tcBorders>
            <w:shd w:val="clear" w:color="auto" w:fill="auto"/>
            <w:noWrap/>
            <w:vAlign w:val="center"/>
            <w:hideMark/>
          </w:tcPr>
          <w:p w14:paraId="2ABE1F2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5ABDEF5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(0.07)</w:t>
            </w:r>
          </w:p>
        </w:tc>
        <w:tc>
          <w:tcPr>
            <w:tcW w:w="727" w:type="pct"/>
            <w:tcBorders>
              <w:top w:val="nil"/>
              <w:left w:val="nil"/>
              <w:bottom w:val="nil"/>
              <w:right w:val="nil"/>
            </w:tcBorders>
            <w:shd w:val="clear" w:color="auto" w:fill="auto"/>
            <w:noWrap/>
            <w:vAlign w:val="center"/>
            <w:hideMark/>
          </w:tcPr>
          <w:p w14:paraId="4392A93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(0.14)</w:t>
            </w:r>
          </w:p>
        </w:tc>
        <w:tc>
          <w:tcPr>
            <w:tcW w:w="556" w:type="pct"/>
            <w:tcBorders>
              <w:top w:val="nil"/>
              <w:left w:val="nil"/>
              <w:bottom w:val="nil"/>
              <w:right w:val="nil"/>
            </w:tcBorders>
            <w:shd w:val="clear" w:color="auto" w:fill="auto"/>
            <w:noWrap/>
            <w:vAlign w:val="center"/>
            <w:hideMark/>
          </w:tcPr>
          <w:p w14:paraId="6C72F5C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340" w:type="pct"/>
            <w:tcBorders>
              <w:top w:val="nil"/>
              <w:left w:val="nil"/>
              <w:bottom w:val="nil"/>
              <w:right w:val="nil"/>
            </w:tcBorders>
            <w:shd w:val="clear" w:color="auto" w:fill="auto"/>
            <w:noWrap/>
            <w:vAlign w:val="center"/>
            <w:hideMark/>
          </w:tcPr>
          <w:p w14:paraId="114AC53B"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32BB324" w14:textId="77777777" w:rsidTr="00EE68F9">
        <w:trPr>
          <w:trHeight w:val="300"/>
        </w:trPr>
        <w:tc>
          <w:tcPr>
            <w:tcW w:w="922" w:type="pct"/>
            <w:tcBorders>
              <w:top w:val="nil"/>
              <w:left w:val="nil"/>
              <w:bottom w:val="nil"/>
              <w:right w:val="nil"/>
            </w:tcBorders>
            <w:shd w:val="clear" w:color="auto" w:fill="auto"/>
            <w:noWrap/>
            <w:vAlign w:val="center"/>
            <w:hideMark/>
          </w:tcPr>
          <w:p w14:paraId="6A2562F7"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Vegetables</w:t>
            </w:r>
          </w:p>
        </w:tc>
        <w:tc>
          <w:tcPr>
            <w:tcW w:w="638" w:type="pct"/>
            <w:tcBorders>
              <w:top w:val="nil"/>
              <w:left w:val="nil"/>
              <w:bottom w:val="nil"/>
              <w:right w:val="nil"/>
            </w:tcBorders>
            <w:shd w:val="clear" w:color="auto" w:fill="auto"/>
            <w:noWrap/>
            <w:vAlign w:val="center"/>
            <w:hideMark/>
          </w:tcPr>
          <w:p w14:paraId="375289D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622.00</w:t>
            </w:r>
          </w:p>
        </w:tc>
        <w:tc>
          <w:tcPr>
            <w:tcW w:w="586" w:type="pct"/>
            <w:tcBorders>
              <w:top w:val="nil"/>
              <w:left w:val="nil"/>
              <w:bottom w:val="nil"/>
              <w:right w:val="nil"/>
            </w:tcBorders>
            <w:shd w:val="clear" w:color="auto" w:fill="auto"/>
            <w:noWrap/>
            <w:vAlign w:val="center"/>
            <w:hideMark/>
          </w:tcPr>
          <w:p w14:paraId="747F4E2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83" w:type="pct"/>
            <w:tcBorders>
              <w:top w:val="nil"/>
              <w:left w:val="nil"/>
              <w:bottom w:val="nil"/>
              <w:right w:val="nil"/>
            </w:tcBorders>
            <w:shd w:val="clear" w:color="auto" w:fill="auto"/>
            <w:noWrap/>
            <w:vAlign w:val="center"/>
            <w:hideMark/>
          </w:tcPr>
          <w:p w14:paraId="52E625D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1.93</w:t>
            </w:r>
          </w:p>
        </w:tc>
        <w:tc>
          <w:tcPr>
            <w:tcW w:w="647" w:type="pct"/>
            <w:tcBorders>
              <w:top w:val="nil"/>
              <w:left w:val="nil"/>
              <w:bottom w:val="nil"/>
              <w:right w:val="nil"/>
            </w:tcBorders>
            <w:shd w:val="clear" w:color="auto" w:fill="auto"/>
            <w:noWrap/>
            <w:vAlign w:val="center"/>
            <w:hideMark/>
          </w:tcPr>
          <w:p w14:paraId="6246130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3553D0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0.39</w:t>
            </w:r>
          </w:p>
        </w:tc>
        <w:tc>
          <w:tcPr>
            <w:tcW w:w="556" w:type="pct"/>
            <w:tcBorders>
              <w:top w:val="nil"/>
              <w:left w:val="nil"/>
              <w:bottom w:val="nil"/>
              <w:right w:val="nil"/>
            </w:tcBorders>
            <w:shd w:val="clear" w:color="auto" w:fill="auto"/>
            <w:noWrap/>
            <w:vAlign w:val="center"/>
            <w:hideMark/>
          </w:tcPr>
          <w:p w14:paraId="6B7E0E3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-5.45</w:t>
            </w:r>
          </w:p>
        </w:tc>
        <w:tc>
          <w:tcPr>
            <w:tcW w:w="340" w:type="pct"/>
            <w:tcBorders>
              <w:top w:val="nil"/>
              <w:left w:val="nil"/>
              <w:bottom w:val="nil"/>
              <w:right w:val="nil"/>
            </w:tcBorders>
            <w:shd w:val="clear" w:color="auto" w:fill="auto"/>
            <w:noWrap/>
            <w:vAlign w:val="center"/>
            <w:hideMark/>
          </w:tcPr>
          <w:p w14:paraId="5DF4CB6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0.16</w:t>
            </w:r>
          </w:p>
        </w:tc>
      </w:tr>
      <w:tr w:rsidR="00E37084" w:rsidRPr="00E37084" w14:paraId="4DBA5817" w14:textId="77777777" w:rsidTr="00EE68F9">
        <w:trPr>
          <w:trHeight w:val="300"/>
        </w:trPr>
        <w:tc>
          <w:tcPr>
            <w:tcW w:w="922" w:type="pct"/>
            <w:tcBorders>
              <w:top w:val="nil"/>
              <w:left w:val="nil"/>
              <w:bottom w:val="nil"/>
              <w:right w:val="nil"/>
            </w:tcBorders>
            <w:shd w:val="clear" w:color="auto" w:fill="auto"/>
            <w:noWrap/>
            <w:vAlign w:val="center"/>
            <w:hideMark/>
          </w:tcPr>
          <w:p w14:paraId="0E84309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0047DEE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(0.76)</w:t>
            </w:r>
          </w:p>
        </w:tc>
        <w:tc>
          <w:tcPr>
            <w:tcW w:w="586" w:type="pct"/>
            <w:tcBorders>
              <w:top w:val="nil"/>
              <w:left w:val="nil"/>
              <w:bottom w:val="nil"/>
              <w:right w:val="nil"/>
            </w:tcBorders>
            <w:shd w:val="clear" w:color="auto" w:fill="auto"/>
            <w:noWrap/>
            <w:vAlign w:val="center"/>
            <w:hideMark/>
          </w:tcPr>
          <w:p w14:paraId="603F0E8B"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583" w:type="pct"/>
            <w:tcBorders>
              <w:top w:val="nil"/>
              <w:left w:val="nil"/>
              <w:bottom w:val="nil"/>
              <w:right w:val="nil"/>
            </w:tcBorders>
            <w:shd w:val="clear" w:color="auto" w:fill="auto"/>
            <w:noWrap/>
            <w:vAlign w:val="center"/>
            <w:hideMark/>
          </w:tcPr>
          <w:p w14:paraId="6E1DE767"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(0.90)</w:t>
            </w:r>
          </w:p>
        </w:tc>
        <w:tc>
          <w:tcPr>
            <w:tcW w:w="647" w:type="pct"/>
            <w:tcBorders>
              <w:top w:val="nil"/>
              <w:left w:val="nil"/>
              <w:bottom w:val="nil"/>
              <w:right w:val="nil"/>
            </w:tcBorders>
            <w:shd w:val="clear" w:color="auto" w:fill="auto"/>
            <w:noWrap/>
            <w:vAlign w:val="center"/>
            <w:hideMark/>
          </w:tcPr>
          <w:p w14:paraId="0C433AC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0A32AE8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(0.31)</w:t>
            </w:r>
          </w:p>
        </w:tc>
        <w:tc>
          <w:tcPr>
            <w:tcW w:w="556" w:type="pct"/>
            <w:tcBorders>
              <w:top w:val="nil"/>
              <w:left w:val="nil"/>
              <w:bottom w:val="nil"/>
              <w:right w:val="nil"/>
            </w:tcBorders>
            <w:shd w:val="clear" w:color="auto" w:fill="auto"/>
            <w:noWrap/>
            <w:vAlign w:val="center"/>
            <w:hideMark/>
          </w:tcPr>
          <w:p w14:paraId="555F0AE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(0.94)</w:t>
            </w:r>
          </w:p>
        </w:tc>
        <w:tc>
          <w:tcPr>
            <w:tcW w:w="340" w:type="pct"/>
            <w:tcBorders>
              <w:top w:val="nil"/>
              <w:left w:val="nil"/>
              <w:bottom w:val="nil"/>
              <w:right w:val="nil"/>
            </w:tcBorders>
            <w:shd w:val="clear" w:color="auto" w:fill="auto"/>
            <w:noWrap/>
            <w:vAlign w:val="center"/>
            <w:hideMark/>
          </w:tcPr>
          <w:p w14:paraId="3A32E650"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3266DEA1" w14:textId="77777777" w:rsidTr="00EE68F9">
        <w:trPr>
          <w:trHeight w:val="300"/>
        </w:trPr>
        <w:tc>
          <w:tcPr>
            <w:tcW w:w="922" w:type="pct"/>
            <w:tcBorders>
              <w:top w:val="nil"/>
              <w:left w:val="nil"/>
              <w:bottom w:val="nil"/>
              <w:right w:val="nil"/>
            </w:tcBorders>
            <w:shd w:val="clear" w:color="auto" w:fill="auto"/>
            <w:noWrap/>
            <w:vAlign w:val="center"/>
            <w:hideMark/>
          </w:tcPr>
          <w:p w14:paraId="00D239B5"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broadacre</w:t>
            </w:r>
          </w:p>
        </w:tc>
        <w:tc>
          <w:tcPr>
            <w:tcW w:w="638" w:type="pct"/>
            <w:tcBorders>
              <w:top w:val="nil"/>
              <w:left w:val="nil"/>
              <w:bottom w:val="nil"/>
              <w:right w:val="nil"/>
            </w:tcBorders>
            <w:shd w:val="clear" w:color="auto" w:fill="auto"/>
            <w:noWrap/>
            <w:vAlign w:val="center"/>
            <w:hideMark/>
          </w:tcPr>
          <w:p w14:paraId="1BFC95F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915.45</w:t>
            </w:r>
          </w:p>
        </w:tc>
        <w:tc>
          <w:tcPr>
            <w:tcW w:w="586" w:type="pct"/>
            <w:tcBorders>
              <w:top w:val="nil"/>
              <w:left w:val="nil"/>
              <w:bottom w:val="nil"/>
              <w:right w:val="nil"/>
            </w:tcBorders>
            <w:shd w:val="clear" w:color="auto" w:fill="auto"/>
            <w:noWrap/>
            <w:vAlign w:val="center"/>
            <w:hideMark/>
          </w:tcPr>
          <w:p w14:paraId="4411197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-1.20</w:t>
            </w:r>
          </w:p>
        </w:tc>
        <w:tc>
          <w:tcPr>
            <w:tcW w:w="583" w:type="pct"/>
            <w:tcBorders>
              <w:top w:val="nil"/>
              <w:left w:val="nil"/>
              <w:bottom w:val="nil"/>
              <w:right w:val="nil"/>
            </w:tcBorders>
            <w:shd w:val="clear" w:color="auto" w:fill="auto"/>
            <w:noWrap/>
            <w:vAlign w:val="center"/>
            <w:hideMark/>
          </w:tcPr>
          <w:p w14:paraId="5F09CFB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2.25</w:t>
            </w:r>
          </w:p>
        </w:tc>
        <w:tc>
          <w:tcPr>
            <w:tcW w:w="647" w:type="pct"/>
            <w:tcBorders>
              <w:top w:val="nil"/>
              <w:left w:val="nil"/>
              <w:bottom w:val="nil"/>
              <w:right w:val="nil"/>
            </w:tcBorders>
            <w:shd w:val="clear" w:color="auto" w:fill="auto"/>
            <w:noWrap/>
            <w:vAlign w:val="center"/>
            <w:hideMark/>
          </w:tcPr>
          <w:p w14:paraId="16718DF9"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1D6046A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-1.31*</w:t>
            </w:r>
          </w:p>
        </w:tc>
        <w:tc>
          <w:tcPr>
            <w:tcW w:w="556" w:type="pct"/>
            <w:tcBorders>
              <w:top w:val="nil"/>
              <w:left w:val="nil"/>
              <w:bottom w:val="nil"/>
              <w:right w:val="nil"/>
            </w:tcBorders>
            <w:shd w:val="clear" w:color="auto" w:fill="auto"/>
            <w:noWrap/>
            <w:vAlign w:val="center"/>
            <w:hideMark/>
          </w:tcPr>
          <w:p w14:paraId="11841DB0"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44.21</w:t>
            </w:r>
          </w:p>
        </w:tc>
        <w:tc>
          <w:tcPr>
            <w:tcW w:w="340" w:type="pct"/>
            <w:tcBorders>
              <w:top w:val="nil"/>
              <w:left w:val="nil"/>
              <w:bottom w:val="nil"/>
              <w:right w:val="nil"/>
            </w:tcBorders>
            <w:shd w:val="clear" w:color="auto" w:fill="auto"/>
            <w:noWrap/>
            <w:vAlign w:val="center"/>
            <w:hideMark/>
          </w:tcPr>
          <w:p w14:paraId="14739D5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0.78</w:t>
            </w:r>
          </w:p>
        </w:tc>
      </w:tr>
      <w:tr w:rsidR="00E37084" w:rsidRPr="00E37084" w14:paraId="78DF3C62" w14:textId="77777777" w:rsidTr="00EE68F9">
        <w:trPr>
          <w:trHeight w:val="300"/>
        </w:trPr>
        <w:tc>
          <w:tcPr>
            <w:tcW w:w="922" w:type="pct"/>
            <w:tcBorders>
              <w:top w:val="nil"/>
              <w:left w:val="nil"/>
              <w:bottom w:val="nil"/>
              <w:right w:val="nil"/>
            </w:tcBorders>
            <w:shd w:val="clear" w:color="auto" w:fill="auto"/>
            <w:noWrap/>
            <w:vAlign w:val="center"/>
            <w:hideMark/>
          </w:tcPr>
          <w:p w14:paraId="2F7794CA"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1993DC1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(0.23)</w:t>
            </w:r>
          </w:p>
        </w:tc>
        <w:tc>
          <w:tcPr>
            <w:tcW w:w="586" w:type="pct"/>
            <w:tcBorders>
              <w:top w:val="nil"/>
              <w:left w:val="nil"/>
              <w:bottom w:val="nil"/>
              <w:right w:val="nil"/>
            </w:tcBorders>
            <w:shd w:val="clear" w:color="auto" w:fill="auto"/>
            <w:noWrap/>
            <w:vAlign w:val="center"/>
            <w:hideMark/>
          </w:tcPr>
          <w:p w14:paraId="586FBFA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(0.12)</w:t>
            </w:r>
          </w:p>
        </w:tc>
        <w:tc>
          <w:tcPr>
            <w:tcW w:w="583" w:type="pct"/>
            <w:tcBorders>
              <w:top w:val="nil"/>
              <w:left w:val="nil"/>
              <w:bottom w:val="nil"/>
              <w:right w:val="nil"/>
            </w:tcBorders>
            <w:shd w:val="clear" w:color="auto" w:fill="auto"/>
            <w:noWrap/>
            <w:vAlign w:val="center"/>
            <w:hideMark/>
          </w:tcPr>
          <w:p w14:paraId="5218BE0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(0.73)</w:t>
            </w:r>
          </w:p>
        </w:tc>
        <w:tc>
          <w:tcPr>
            <w:tcW w:w="647" w:type="pct"/>
            <w:tcBorders>
              <w:top w:val="nil"/>
              <w:left w:val="nil"/>
              <w:bottom w:val="nil"/>
              <w:right w:val="nil"/>
            </w:tcBorders>
            <w:shd w:val="clear" w:color="auto" w:fill="auto"/>
            <w:noWrap/>
            <w:vAlign w:val="center"/>
            <w:hideMark/>
          </w:tcPr>
          <w:p w14:paraId="1A3E707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686CD32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(0.04)</w:t>
            </w:r>
          </w:p>
        </w:tc>
        <w:tc>
          <w:tcPr>
            <w:tcW w:w="556" w:type="pct"/>
            <w:tcBorders>
              <w:top w:val="nil"/>
              <w:left w:val="nil"/>
              <w:bottom w:val="nil"/>
              <w:right w:val="nil"/>
            </w:tcBorders>
            <w:shd w:val="clear" w:color="auto" w:fill="auto"/>
            <w:noWrap/>
            <w:vAlign w:val="center"/>
            <w:hideMark/>
          </w:tcPr>
          <w:p w14:paraId="31EE58A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(0.38)</w:t>
            </w:r>
          </w:p>
        </w:tc>
        <w:tc>
          <w:tcPr>
            <w:tcW w:w="340" w:type="pct"/>
            <w:tcBorders>
              <w:top w:val="nil"/>
              <w:left w:val="nil"/>
              <w:bottom w:val="nil"/>
              <w:right w:val="nil"/>
            </w:tcBorders>
            <w:shd w:val="clear" w:color="auto" w:fill="auto"/>
            <w:noWrap/>
            <w:vAlign w:val="center"/>
            <w:hideMark/>
          </w:tcPr>
          <w:p w14:paraId="1FCC3A24"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595CEFF" w14:textId="77777777" w:rsidTr="00EE68F9">
        <w:trPr>
          <w:trHeight w:val="300"/>
        </w:trPr>
        <w:tc>
          <w:tcPr>
            <w:tcW w:w="922" w:type="pct"/>
            <w:tcBorders>
              <w:top w:val="nil"/>
              <w:left w:val="nil"/>
              <w:bottom w:val="nil"/>
              <w:right w:val="nil"/>
            </w:tcBorders>
            <w:shd w:val="clear" w:color="auto" w:fill="auto"/>
            <w:noWrap/>
            <w:vAlign w:val="center"/>
            <w:hideMark/>
          </w:tcPr>
          <w:p w14:paraId="271C7C7B"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cereals</w:t>
            </w:r>
          </w:p>
        </w:tc>
        <w:tc>
          <w:tcPr>
            <w:tcW w:w="638" w:type="pct"/>
            <w:tcBorders>
              <w:top w:val="nil"/>
              <w:left w:val="nil"/>
              <w:bottom w:val="nil"/>
              <w:right w:val="nil"/>
            </w:tcBorders>
            <w:shd w:val="clear" w:color="auto" w:fill="auto"/>
            <w:noWrap/>
            <w:vAlign w:val="center"/>
            <w:hideMark/>
          </w:tcPr>
          <w:p w14:paraId="0AE03E5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2874.03</w:t>
            </w:r>
          </w:p>
        </w:tc>
        <w:tc>
          <w:tcPr>
            <w:tcW w:w="586" w:type="pct"/>
            <w:tcBorders>
              <w:top w:val="nil"/>
              <w:left w:val="nil"/>
              <w:bottom w:val="nil"/>
              <w:right w:val="nil"/>
            </w:tcBorders>
            <w:shd w:val="clear" w:color="auto" w:fill="auto"/>
            <w:noWrap/>
            <w:vAlign w:val="center"/>
            <w:hideMark/>
          </w:tcPr>
          <w:p w14:paraId="57C490A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-3.84</w:t>
            </w:r>
          </w:p>
        </w:tc>
        <w:tc>
          <w:tcPr>
            <w:tcW w:w="583" w:type="pct"/>
            <w:tcBorders>
              <w:top w:val="nil"/>
              <w:left w:val="nil"/>
              <w:bottom w:val="nil"/>
              <w:right w:val="nil"/>
            </w:tcBorders>
            <w:shd w:val="clear" w:color="auto" w:fill="auto"/>
            <w:noWrap/>
            <w:vAlign w:val="center"/>
            <w:hideMark/>
          </w:tcPr>
          <w:p w14:paraId="2AED687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15.36</w:t>
            </w:r>
          </w:p>
        </w:tc>
        <w:tc>
          <w:tcPr>
            <w:tcW w:w="647" w:type="pct"/>
            <w:tcBorders>
              <w:top w:val="nil"/>
              <w:left w:val="nil"/>
              <w:bottom w:val="nil"/>
              <w:right w:val="nil"/>
            </w:tcBorders>
            <w:shd w:val="clear" w:color="auto" w:fill="auto"/>
            <w:noWrap/>
            <w:vAlign w:val="center"/>
            <w:hideMark/>
          </w:tcPr>
          <w:p w14:paraId="70CCD632"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7D4234D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-3.27</w:t>
            </w:r>
          </w:p>
        </w:tc>
        <w:tc>
          <w:tcPr>
            <w:tcW w:w="556" w:type="pct"/>
            <w:tcBorders>
              <w:top w:val="nil"/>
              <w:left w:val="nil"/>
              <w:bottom w:val="nil"/>
              <w:right w:val="nil"/>
            </w:tcBorders>
            <w:shd w:val="clear" w:color="auto" w:fill="auto"/>
            <w:noWrap/>
            <w:vAlign w:val="center"/>
            <w:hideMark/>
          </w:tcPr>
          <w:p w14:paraId="6FF340D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57.09</w:t>
            </w:r>
          </w:p>
        </w:tc>
        <w:tc>
          <w:tcPr>
            <w:tcW w:w="340" w:type="pct"/>
            <w:tcBorders>
              <w:top w:val="nil"/>
              <w:left w:val="nil"/>
              <w:bottom w:val="nil"/>
              <w:right w:val="nil"/>
            </w:tcBorders>
            <w:shd w:val="clear" w:color="auto" w:fill="auto"/>
            <w:noWrap/>
            <w:vAlign w:val="center"/>
            <w:hideMark/>
          </w:tcPr>
          <w:p w14:paraId="620ADB8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0.73</w:t>
            </w:r>
          </w:p>
        </w:tc>
      </w:tr>
      <w:tr w:rsidR="00E37084" w:rsidRPr="00E37084" w14:paraId="0254A7CE" w14:textId="77777777" w:rsidTr="00EE68F9">
        <w:trPr>
          <w:trHeight w:val="300"/>
        </w:trPr>
        <w:tc>
          <w:tcPr>
            <w:tcW w:w="922" w:type="pct"/>
            <w:tcBorders>
              <w:top w:val="nil"/>
              <w:left w:val="nil"/>
              <w:bottom w:val="nil"/>
              <w:right w:val="nil"/>
            </w:tcBorders>
            <w:shd w:val="clear" w:color="auto" w:fill="auto"/>
            <w:noWrap/>
            <w:vAlign w:val="center"/>
            <w:hideMark/>
          </w:tcPr>
          <w:p w14:paraId="6F32E28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0E284ED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(0.21)</w:t>
            </w:r>
          </w:p>
        </w:tc>
        <w:tc>
          <w:tcPr>
            <w:tcW w:w="586" w:type="pct"/>
            <w:tcBorders>
              <w:top w:val="nil"/>
              <w:left w:val="nil"/>
              <w:bottom w:val="nil"/>
              <w:right w:val="nil"/>
            </w:tcBorders>
            <w:shd w:val="clear" w:color="auto" w:fill="auto"/>
            <w:noWrap/>
            <w:vAlign w:val="center"/>
            <w:hideMark/>
          </w:tcPr>
          <w:p w14:paraId="3B65A88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(0.10)</w:t>
            </w:r>
          </w:p>
        </w:tc>
        <w:tc>
          <w:tcPr>
            <w:tcW w:w="583" w:type="pct"/>
            <w:tcBorders>
              <w:top w:val="nil"/>
              <w:left w:val="nil"/>
              <w:bottom w:val="nil"/>
              <w:right w:val="nil"/>
            </w:tcBorders>
            <w:shd w:val="clear" w:color="auto" w:fill="auto"/>
            <w:noWrap/>
            <w:vAlign w:val="center"/>
            <w:hideMark/>
          </w:tcPr>
          <w:p w14:paraId="45FF511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(0.45)</w:t>
            </w:r>
          </w:p>
        </w:tc>
        <w:tc>
          <w:tcPr>
            <w:tcW w:w="647" w:type="pct"/>
            <w:tcBorders>
              <w:top w:val="nil"/>
              <w:left w:val="nil"/>
              <w:bottom w:val="nil"/>
              <w:right w:val="nil"/>
            </w:tcBorders>
            <w:shd w:val="clear" w:color="auto" w:fill="auto"/>
            <w:noWrap/>
            <w:vAlign w:val="center"/>
            <w:hideMark/>
          </w:tcPr>
          <w:p w14:paraId="6ED761A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57C9621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(0.08)</w:t>
            </w:r>
          </w:p>
        </w:tc>
        <w:tc>
          <w:tcPr>
            <w:tcW w:w="556" w:type="pct"/>
            <w:tcBorders>
              <w:top w:val="nil"/>
              <w:left w:val="nil"/>
              <w:bottom w:val="nil"/>
              <w:right w:val="nil"/>
            </w:tcBorders>
            <w:shd w:val="clear" w:color="auto" w:fill="auto"/>
            <w:noWrap/>
            <w:vAlign w:val="center"/>
            <w:hideMark/>
          </w:tcPr>
          <w:p w14:paraId="63C5B97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(0.70)</w:t>
            </w:r>
          </w:p>
        </w:tc>
        <w:tc>
          <w:tcPr>
            <w:tcW w:w="340" w:type="pct"/>
            <w:tcBorders>
              <w:top w:val="nil"/>
              <w:left w:val="nil"/>
              <w:bottom w:val="nil"/>
              <w:right w:val="nil"/>
            </w:tcBorders>
            <w:shd w:val="clear" w:color="auto" w:fill="auto"/>
            <w:noWrap/>
            <w:vAlign w:val="center"/>
            <w:hideMark/>
          </w:tcPr>
          <w:p w14:paraId="3369F123"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5F3F87B9" w14:textId="77777777" w:rsidTr="00EE68F9">
        <w:trPr>
          <w:trHeight w:val="300"/>
        </w:trPr>
        <w:tc>
          <w:tcPr>
            <w:tcW w:w="922" w:type="pct"/>
            <w:tcBorders>
              <w:top w:val="nil"/>
              <w:left w:val="nil"/>
              <w:bottom w:val="nil"/>
              <w:right w:val="nil"/>
            </w:tcBorders>
            <w:shd w:val="clear" w:color="auto" w:fill="auto"/>
            <w:noWrap/>
            <w:vAlign w:val="center"/>
            <w:hideMark/>
          </w:tcPr>
          <w:p w14:paraId="04B64662"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Other crops</w:t>
            </w:r>
          </w:p>
        </w:tc>
        <w:tc>
          <w:tcPr>
            <w:tcW w:w="638" w:type="pct"/>
            <w:tcBorders>
              <w:top w:val="nil"/>
              <w:left w:val="nil"/>
              <w:bottom w:val="nil"/>
              <w:right w:val="nil"/>
            </w:tcBorders>
            <w:shd w:val="clear" w:color="auto" w:fill="auto"/>
            <w:noWrap/>
            <w:vAlign w:val="center"/>
            <w:hideMark/>
          </w:tcPr>
          <w:p w14:paraId="5FB6C81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-357.59</w:t>
            </w:r>
          </w:p>
        </w:tc>
        <w:tc>
          <w:tcPr>
            <w:tcW w:w="586" w:type="pct"/>
            <w:tcBorders>
              <w:top w:val="nil"/>
              <w:left w:val="nil"/>
              <w:bottom w:val="nil"/>
              <w:right w:val="nil"/>
            </w:tcBorders>
            <w:shd w:val="clear" w:color="auto" w:fill="auto"/>
            <w:noWrap/>
            <w:vAlign w:val="center"/>
            <w:hideMark/>
          </w:tcPr>
          <w:p w14:paraId="0226E47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-0.83*</w:t>
            </w:r>
          </w:p>
        </w:tc>
        <w:tc>
          <w:tcPr>
            <w:tcW w:w="583" w:type="pct"/>
            <w:tcBorders>
              <w:top w:val="nil"/>
              <w:left w:val="nil"/>
              <w:bottom w:val="nil"/>
              <w:right w:val="nil"/>
            </w:tcBorders>
            <w:shd w:val="clear" w:color="auto" w:fill="auto"/>
            <w:noWrap/>
            <w:vAlign w:val="center"/>
            <w:hideMark/>
          </w:tcPr>
          <w:p w14:paraId="2916F2F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8.40</w:t>
            </w:r>
          </w:p>
        </w:tc>
        <w:tc>
          <w:tcPr>
            <w:tcW w:w="647" w:type="pct"/>
            <w:tcBorders>
              <w:top w:val="nil"/>
              <w:left w:val="nil"/>
              <w:bottom w:val="nil"/>
              <w:right w:val="nil"/>
            </w:tcBorders>
            <w:shd w:val="clear" w:color="auto" w:fill="auto"/>
            <w:noWrap/>
            <w:vAlign w:val="center"/>
            <w:hideMark/>
          </w:tcPr>
          <w:p w14:paraId="707473E7"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3E8F6B4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-0.37</w:t>
            </w:r>
          </w:p>
        </w:tc>
        <w:tc>
          <w:tcPr>
            <w:tcW w:w="556" w:type="pct"/>
            <w:tcBorders>
              <w:top w:val="nil"/>
              <w:left w:val="nil"/>
              <w:bottom w:val="nil"/>
              <w:right w:val="nil"/>
            </w:tcBorders>
            <w:shd w:val="clear" w:color="auto" w:fill="auto"/>
            <w:noWrap/>
            <w:vAlign w:val="center"/>
            <w:hideMark/>
          </w:tcPr>
          <w:p w14:paraId="1F12DD6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-30.85</w:t>
            </w:r>
          </w:p>
        </w:tc>
        <w:tc>
          <w:tcPr>
            <w:tcW w:w="340" w:type="pct"/>
            <w:tcBorders>
              <w:top w:val="nil"/>
              <w:left w:val="nil"/>
              <w:bottom w:val="nil"/>
              <w:right w:val="nil"/>
            </w:tcBorders>
            <w:shd w:val="clear" w:color="auto" w:fill="auto"/>
            <w:noWrap/>
            <w:vAlign w:val="center"/>
            <w:hideMark/>
          </w:tcPr>
          <w:p w14:paraId="31C4A01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0.63</w:t>
            </w:r>
          </w:p>
        </w:tc>
      </w:tr>
      <w:tr w:rsidR="00E37084" w:rsidRPr="00E37084" w14:paraId="3663400B" w14:textId="77777777" w:rsidTr="00EE68F9">
        <w:trPr>
          <w:trHeight w:val="300"/>
        </w:trPr>
        <w:tc>
          <w:tcPr>
            <w:tcW w:w="922" w:type="pct"/>
            <w:tcBorders>
              <w:top w:val="nil"/>
              <w:left w:val="nil"/>
              <w:bottom w:val="nil"/>
              <w:right w:val="nil"/>
            </w:tcBorders>
            <w:shd w:val="clear" w:color="auto" w:fill="auto"/>
            <w:noWrap/>
            <w:vAlign w:val="center"/>
            <w:hideMark/>
          </w:tcPr>
          <w:p w14:paraId="2346A278"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67D39C66"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(0.60)</w:t>
            </w:r>
          </w:p>
        </w:tc>
        <w:tc>
          <w:tcPr>
            <w:tcW w:w="586" w:type="pct"/>
            <w:tcBorders>
              <w:top w:val="nil"/>
              <w:left w:val="nil"/>
              <w:bottom w:val="nil"/>
              <w:right w:val="nil"/>
            </w:tcBorders>
            <w:shd w:val="clear" w:color="auto" w:fill="auto"/>
            <w:noWrap/>
            <w:vAlign w:val="center"/>
            <w:hideMark/>
          </w:tcPr>
          <w:p w14:paraId="3C23E7D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(0.03)</w:t>
            </w:r>
          </w:p>
        </w:tc>
        <w:tc>
          <w:tcPr>
            <w:tcW w:w="583" w:type="pct"/>
            <w:tcBorders>
              <w:top w:val="nil"/>
              <w:left w:val="nil"/>
              <w:bottom w:val="nil"/>
              <w:right w:val="nil"/>
            </w:tcBorders>
            <w:shd w:val="clear" w:color="auto" w:fill="auto"/>
            <w:noWrap/>
            <w:vAlign w:val="center"/>
            <w:hideMark/>
          </w:tcPr>
          <w:p w14:paraId="48822DCC"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(0.23)</w:t>
            </w:r>
          </w:p>
        </w:tc>
        <w:tc>
          <w:tcPr>
            <w:tcW w:w="647" w:type="pct"/>
            <w:tcBorders>
              <w:top w:val="nil"/>
              <w:left w:val="nil"/>
              <w:bottom w:val="nil"/>
              <w:right w:val="nil"/>
            </w:tcBorders>
            <w:shd w:val="clear" w:color="auto" w:fill="auto"/>
            <w:noWrap/>
            <w:vAlign w:val="center"/>
            <w:hideMark/>
          </w:tcPr>
          <w:p w14:paraId="4523CD44"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0986819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(0.17)</w:t>
            </w:r>
          </w:p>
        </w:tc>
        <w:tc>
          <w:tcPr>
            <w:tcW w:w="556" w:type="pct"/>
            <w:tcBorders>
              <w:top w:val="nil"/>
              <w:left w:val="nil"/>
              <w:bottom w:val="nil"/>
              <w:right w:val="nil"/>
            </w:tcBorders>
            <w:shd w:val="clear" w:color="auto" w:fill="auto"/>
            <w:noWrap/>
            <w:vAlign w:val="center"/>
            <w:hideMark/>
          </w:tcPr>
          <w:p w14:paraId="0826808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(0.23)</w:t>
            </w:r>
          </w:p>
        </w:tc>
        <w:tc>
          <w:tcPr>
            <w:tcW w:w="340" w:type="pct"/>
            <w:tcBorders>
              <w:top w:val="nil"/>
              <w:left w:val="nil"/>
              <w:bottom w:val="nil"/>
              <w:right w:val="nil"/>
            </w:tcBorders>
            <w:shd w:val="clear" w:color="auto" w:fill="auto"/>
            <w:noWrap/>
            <w:vAlign w:val="center"/>
            <w:hideMark/>
          </w:tcPr>
          <w:p w14:paraId="481DB2DA"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487C6EF1" w14:textId="77777777" w:rsidTr="00EE68F9">
        <w:trPr>
          <w:trHeight w:val="300"/>
        </w:trPr>
        <w:tc>
          <w:tcPr>
            <w:tcW w:w="922" w:type="pct"/>
            <w:tcBorders>
              <w:top w:val="nil"/>
              <w:left w:val="nil"/>
              <w:bottom w:val="nil"/>
              <w:right w:val="nil"/>
            </w:tcBorders>
            <w:shd w:val="clear" w:color="auto" w:fill="auto"/>
            <w:noWrap/>
            <w:vAlign w:val="center"/>
            <w:hideMark/>
          </w:tcPr>
          <w:p w14:paraId="189CC096"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Dairy</w:t>
            </w:r>
          </w:p>
        </w:tc>
        <w:tc>
          <w:tcPr>
            <w:tcW w:w="638" w:type="pct"/>
            <w:tcBorders>
              <w:top w:val="nil"/>
              <w:left w:val="nil"/>
              <w:bottom w:val="nil"/>
              <w:right w:val="nil"/>
            </w:tcBorders>
            <w:shd w:val="clear" w:color="auto" w:fill="auto"/>
            <w:noWrap/>
            <w:vAlign w:val="center"/>
            <w:hideMark/>
          </w:tcPr>
          <w:p w14:paraId="5095051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31320.08*</w:t>
            </w:r>
          </w:p>
        </w:tc>
        <w:tc>
          <w:tcPr>
            <w:tcW w:w="586" w:type="pct"/>
            <w:tcBorders>
              <w:top w:val="nil"/>
              <w:left w:val="nil"/>
              <w:bottom w:val="nil"/>
              <w:right w:val="nil"/>
            </w:tcBorders>
            <w:shd w:val="clear" w:color="auto" w:fill="auto"/>
            <w:noWrap/>
            <w:vAlign w:val="center"/>
            <w:hideMark/>
          </w:tcPr>
          <w:p w14:paraId="7FF24CC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-25.9*</w:t>
            </w:r>
          </w:p>
        </w:tc>
        <w:tc>
          <w:tcPr>
            <w:tcW w:w="583" w:type="pct"/>
            <w:tcBorders>
              <w:top w:val="nil"/>
              <w:left w:val="nil"/>
              <w:bottom w:val="nil"/>
              <w:right w:val="nil"/>
            </w:tcBorders>
            <w:shd w:val="clear" w:color="auto" w:fill="auto"/>
            <w:noWrap/>
            <w:vAlign w:val="center"/>
            <w:hideMark/>
          </w:tcPr>
          <w:p w14:paraId="0D794CD0"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01847041"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50D312E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-18.86*</w:t>
            </w:r>
          </w:p>
        </w:tc>
        <w:tc>
          <w:tcPr>
            <w:tcW w:w="556" w:type="pct"/>
            <w:tcBorders>
              <w:top w:val="nil"/>
              <w:left w:val="nil"/>
              <w:bottom w:val="nil"/>
              <w:right w:val="nil"/>
            </w:tcBorders>
            <w:shd w:val="clear" w:color="auto" w:fill="auto"/>
            <w:noWrap/>
            <w:vAlign w:val="center"/>
            <w:hideMark/>
          </w:tcPr>
          <w:p w14:paraId="4C89F978"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4.30</w:t>
            </w:r>
          </w:p>
        </w:tc>
        <w:tc>
          <w:tcPr>
            <w:tcW w:w="340" w:type="pct"/>
            <w:tcBorders>
              <w:top w:val="nil"/>
              <w:left w:val="nil"/>
              <w:bottom w:val="nil"/>
              <w:right w:val="nil"/>
            </w:tcBorders>
            <w:shd w:val="clear" w:color="auto" w:fill="auto"/>
            <w:noWrap/>
            <w:vAlign w:val="center"/>
            <w:hideMark/>
          </w:tcPr>
          <w:p w14:paraId="6434610F"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0.86</w:t>
            </w:r>
          </w:p>
        </w:tc>
      </w:tr>
      <w:tr w:rsidR="00E37084" w:rsidRPr="00E37084" w14:paraId="62382F38" w14:textId="77777777" w:rsidTr="00EE68F9">
        <w:trPr>
          <w:trHeight w:val="300"/>
        </w:trPr>
        <w:tc>
          <w:tcPr>
            <w:tcW w:w="922" w:type="pct"/>
            <w:tcBorders>
              <w:top w:val="nil"/>
              <w:left w:val="nil"/>
              <w:bottom w:val="nil"/>
              <w:right w:val="nil"/>
            </w:tcBorders>
            <w:shd w:val="clear" w:color="auto" w:fill="auto"/>
            <w:noWrap/>
            <w:vAlign w:val="center"/>
            <w:hideMark/>
          </w:tcPr>
          <w:p w14:paraId="68B8DC01"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38" w:type="pct"/>
            <w:tcBorders>
              <w:top w:val="nil"/>
              <w:left w:val="nil"/>
              <w:bottom w:val="nil"/>
              <w:right w:val="nil"/>
            </w:tcBorders>
            <w:shd w:val="clear" w:color="auto" w:fill="auto"/>
            <w:noWrap/>
            <w:vAlign w:val="center"/>
            <w:hideMark/>
          </w:tcPr>
          <w:p w14:paraId="16DD050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6" w:type="pct"/>
            <w:tcBorders>
              <w:top w:val="nil"/>
              <w:left w:val="nil"/>
              <w:bottom w:val="nil"/>
              <w:right w:val="nil"/>
            </w:tcBorders>
            <w:shd w:val="clear" w:color="auto" w:fill="auto"/>
            <w:noWrap/>
            <w:vAlign w:val="center"/>
            <w:hideMark/>
          </w:tcPr>
          <w:p w14:paraId="3815CDC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(0.00)</w:t>
            </w:r>
          </w:p>
        </w:tc>
        <w:tc>
          <w:tcPr>
            <w:tcW w:w="583" w:type="pct"/>
            <w:tcBorders>
              <w:top w:val="nil"/>
              <w:left w:val="nil"/>
              <w:bottom w:val="nil"/>
              <w:right w:val="nil"/>
            </w:tcBorders>
            <w:shd w:val="clear" w:color="auto" w:fill="auto"/>
            <w:noWrap/>
            <w:vAlign w:val="center"/>
            <w:hideMark/>
          </w:tcPr>
          <w:p w14:paraId="37834F83"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647" w:type="pct"/>
            <w:tcBorders>
              <w:top w:val="nil"/>
              <w:left w:val="nil"/>
              <w:bottom w:val="nil"/>
              <w:right w:val="nil"/>
            </w:tcBorders>
            <w:shd w:val="clear" w:color="auto" w:fill="auto"/>
            <w:noWrap/>
            <w:vAlign w:val="center"/>
            <w:hideMark/>
          </w:tcPr>
          <w:p w14:paraId="438E2BBB" w14:textId="77777777" w:rsidR="00E37084" w:rsidRPr="00E37084" w:rsidRDefault="00E37084" w:rsidP="00E37084">
            <w:pPr>
              <w:spacing w:after="0" w:line="240" w:lineRule="auto"/>
              <w:jc w:val="right"/>
              <w:rPr>
                <w:rFonts w:ascii="Times New Roman" w:eastAsia="Times New Roman" w:hAnsi="Times New Roman"/>
                <w:color w:val="auto"/>
                <w:sz w:val="20"/>
                <w:szCs w:val="20"/>
                <w:lang w:eastAsia="en-AU"/>
              </w:rPr>
            </w:pPr>
          </w:p>
        </w:tc>
        <w:tc>
          <w:tcPr>
            <w:tcW w:w="727" w:type="pct"/>
            <w:tcBorders>
              <w:top w:val="nil"/>
              <w:left w:val="nil"/>
              <w:bottom w:val="nil"/>
              <w:right w:val="nil"/>
            </w:tcBorders>
            <w:shd w:val="clear" w:color="auto" w:fill="auto"/>
            <w:noWrap/>
            <w:vAlign w:val="center"/>
            <w:hideMark/>
          </w:tcPr>
          <w:p w14:paraId="4030884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(0.01)</w:t>
            </w:r>
          </w:p>
        </w:tc>
        <w:tc>
          <w:tcPr>
            <w:tcW w:w="556" w:type="pct"/>
            <w:tcBorders>
              <w:top w:val="nil"/>
              <w:left w:val="nil"/>
              <w:bottom w:val="nil"/>
              <w:right w:val="nil"/>
            </w:tcBorders>
            <w:shd w:val="clear" w:color="auto" w:fill="auto"/>
            <w:noWrap/>
            <w:vAlign w:val="center"/>
            <w:hideMark/>
          </w:tcPr>
          <w:p w14:paraId="20E9532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(0.99)</w:t>
            </w:r>
          </w:p>
        </w:tc>
        <w:tc>
          <w:tcPr>
            <w:tcW w:w="340" w:type="pct"/>
            <w:tcBorders>
              <w:top w:val="nil"/>
              <w:left w:val="nil"/>
              <w:bottom w:val="nil"/>
              <w:right w:val="nil"/>
            </w:tcBorders>
            <w:shd w:val="clear" w:color="auto" w:fill="auto"/>
            <w:noWrap/>
            <w:vAlign w:val="center"/>
            <w:hideMark/>
          </w:tcPr>
          <w:p w14:paraId="3228CC73" w14:textId="77777777" w:rsidR="00E37084" w:rsidRPr="00E37084" w:rsidRDefault="00E37084" w:rsidP="00E37084">
            <w:pPr>
              <w:spacing w:after="0" w:line="240" w:lineRule="auto"/>
              <w:jc w:val="right"/>
              <w:rPr>
                <w:rFonts w:eastAsia="Times New Roman"/>
                <w:color w:val="000000"/>
                <w:sz w:val="19"/>
                <w:szCs w:val="19"/>
                <w:lang w:eastAsia="en-AU"/>
              </w:rPr>
            </w:pPr>
          </w:p>
        </w:tc>
      </w:tr>
      <w:tr w:rsidR="00E37084" w:rsidRPr="00E37084" w14:paraId="126D7018" w14:textId="77777777" w:rsidTr="00EE68F9">
        <w:trPr>
          <w:trHeight w:val="300"/>
        </w:trPr>
        <w:tc>
          <w:tcPr>
            <w:tcW w:w="922" w:type="pct"/>
            <w:tcBorders>
              <w:top w:val="nil"/>
              <w:left w:val="nil"/>
              <w:bottom w:val="nil"/>
              <w:right w:val="nil"/>
            </w:tcBorders>
            <w:shd w:val="clear" w:color="auto" w:fill="auto"/>
            <w:noWrap/>
            <w:vAlign w:val="center"/>
            <w:hideMark/>
          </w:tcPr>
          <w:p w14:paraId="20785036"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Pastures - Hay</w:t>
            </w:r>
          </w:p>
        </w:tc>
        <w:tc>
          <w:tcPr>
            <w:tcW w:w="638" w:type="pct"/>
            <w:tcBorders>
              <w:top w:val="nil"/>
              <w:left w:val="nil"/>
              <w:bottom w:val="nil"/>
              <w:right w:val="nil"/>
            </w:tcBorders>
            <w:shd w:val="clear" w:color="auto" w:fill="auto"/>
            <w:noWrap/>
            <w:vAlign w:val="center"/>
            <w:hideMark/>
          </w:tcPr>
          <w:p w14:paraId="42A9EB6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-7832.50</w:t>
            </w:r>
          </w:p>
        </w:tc>
        <w:tc>
          <w:tcPr>
            <w:tcW w:w="586" w:type="pct"/>
            <w:tcBorders>
              <w:top w:val="nil"/>
              <w:left w:val="nil"/>
              <w:bottom w:val="nil"/>
              <w:right w:val="nil"/>
            </w:tcBorders>
            <w:shd w:val="clear" w:color="auto" w:fill="auto"/>
            <w:noWrap/>
            <w:vAlign w:val="center"/>
            <w:hideMark/>
          </w:tcPr>
          <w:p w14:paraId="0BB99D3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-25.02</w:t>
            </w:r>
          </w:p>
        </w:tc>
        <w:tc>
          <w:tcPr>
            <w:tcW w:w="583" w:type="pct"/>
            <w:tcBorders>
              <w:top w:val="nil"/>
              <w:left w:val="nil"/>
              <w:bottom w:val="nil"/>
              <w:right w:val="nil"/>
            </w:tcBorders>
            <w:shd w:val="clear" w:color="auto" w:fill="auto"/>
            <w:noWrap/>
            <w:vAlign w:val="center"/>
            <w:hideMark/>
          </w:tcPr>
          <w:p w14:paraId="6AD076E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118.81</w:t>
            </w:r>
          </w:p>
        </w:tc>
        <w:tc>
          <w:tcPr>
            <w:tcW w:w="647" w:type="pct"/>
            <w:tcBorders>
              <w:top w:val="nil"/>
              <w:left w:val="nil"/>
              <w:bottom w:val="nil"/>
              <w:right w:val="nil"/>
            </w:tcBorders>
            <w:shd w:val="clear" w:color="auto" w:fill="auto"/>
            <w:noWrap/>
            <w:vAlign w:val="center"/>
            <w:hideMark/>
          </w:tcPr>
          <w:p w14:paraId="5A6D8F45" w14:textId="77777777" w:rsidR="00E37084" w:rsidRPr="00E37084" w:rsidRDefault="00E37084" w:rsidP="00E37084">
            <w:pPr>
              <w:spacing w:after="0" w:line="240" w:lineRule="auto"/>
              <w:jc w:val="right"/>
              <w:rPr>
                <w:rFonts w:eastAsia="Times New Roman"/>
                <w:color w:val="000000"/>
                <w:sz w:val="19"/>
                <w:szCs w:val="19"/>
                <w:lang w:eastAsia="en-AU"/>
              </w:rPr>
            </w:pPr>
          </w:p>
        </w:tc>
        <w:tc>
          <w:tcPr>
            <w:tcW w:w="727" w:type="pct"/>
            <w:tcBorders>
              <w:top w:val="nil"/>
              <w:left w:val="nil"/>
              <w:bottom w:val="nil"/>
              <w:right w:val="nil"/>
            </w:tcBorders>
            <w:shd w:val="clear" w:color="auto" w:fill="auto"/>
            <w:noWrap/>
            <w:vAlign w:val="center"/>
            <w:hideMark/>
          </w:tcPr>
          <w:p w14:paraId="381E3BE2"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-7.52</w:t>
            </w:r>
          </w:p>
        </w:tc>
        <w:tc>
          <w:tcPr>
            <w:tcW w:w="556" w:type="pct"/>
            <w:tcBorders>
              <w:top w:val="nil"/>
              <w:left w:val="nil"/>
              <w:bottom w:val="nil"/>
              <w:right w:val="nil"/>
            </w:tcBorders>
            <w:shd w:val="clear" w:color="auto" w:fill="auto"/>
            <w:noWrap/>
            <w:vAlign w:val="center"/>
            <w:hideMark/>
          </w:tcPr>
          <w:p w14:paraId="7AEC2391"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150.84</w:t>
            </w:r>
          </w:p>
        </w:tc>
        <w:tc>
          <w:tcPr>
            <w:tcW w:w="340" w:type="pct"/>
            <w:tcBorders>
              <w:top w:val="nil"/>
              <w:left w:val="nil"/>
              <w:bottom w:val="nil"/>
              <w:right w:val="nil"/>
            </w:tcBorders>
            <w:shd w:val="clear" w:color="auto" w:fill="auto"/>
            <w:noWrap/>
            <w:vAlign w:val="center"/>
            <w:hideMark/>
          </w:tcPr>
          <w:p w14:paraId="501D630B"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0.69</w:t>
            </w:r>
          </w:p>
        </w:tc>
      </w:tr>
      <w:tr w:rsidR="00E37084" w:rsidRPr="00E37084" w14:paraId="60D2F26B" w14:textId="77777777" w:rsidTr="00EE68F9">
        <w:trPr>
          <w:trHeight w:val="300"/>
        </w:trPr>
        <w:tc>
          <w:tcPr>
            <w:tcW w:w="922" w:type="pct"/>
            <w:tcBorders>
              <w:top w:val="nil"/>
              <w:left w:val="nil"/>
              <w:bottom w:val="single" w:sz="4" w:space="0" w:color="auto"/>
              <w:right w:val="nil"/>
            </w:tcBorders>
            <w:shd w:val="clear" w:color="auto" w:fill="auto"/>
            <w:noWrap/>
            <w:vAlign w:val="center"/>
            <w:hideMark/>
          </w:tcPr>
          <w:p w14:paraId="0B720D0F" w14:textId="77777777" w:rsidR="00E37084" w:rsidRPr="00E37084" w:rsidRDefault="00E37084" w:rsidP="00E37084">
            <w:pPr>
              <w:spacing w:after="0" w:line="240" w:lineRule="auto"/>
              <w:rPr>
                <w:rFonts w:eastAsia="Times New Roman"/>
                <w:color w:val="000000"/>
                <w:sz w:val="19"/>
                <w:szCs w:val="19"/>
                <w:lang w:eastAsia="en-AU"/>
              </w:rPr>
            </w:pPr>
            <w:r w:rsidRPr="00E37084">
              <w:rPr>
                <w:rFonts w:eastAsia="Times New Roman"/>
                <w:color w:val="000000"/>
                <w:sz w:val="19"/>
                <w:szCs w:val="19"/>
                <w:lang w:eastAsia="en-AU"/>
              </w:rPr>
              <w:t> </w:t>
            </w:r>
          </w:p>
        </w:tc>
        <w:tc>
          <w:tcPr>
            <w:tcW w:w="638" w:type="pct"/>
            <w:tcBorders>
              <w:top w:val="nil"/>
              <w:left w:val="nil"/>
              <w:bottom w:val="single" w:sz="4" w:space="0" w:color="auto"/>
              <w:right w:val="nil"/>
            </w:tcBorders>
            <w:shd w:val="clear" w:color="auto" w:fill="auto"/>
            <w:noWrap/>
            <w:vAlign w:val="center"/>
            <w:hideMark/>
          </w:tcPr>
          <w:p w14:paraId="316B9EBD"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(0.56)</w:t>
            </w:r>
          </w:p>
        </w:tc>
        <w:tc>
          <w:tcPr>
            <w:tcW w:w="586" w:type="pct"/>
            <w:tcBorders>
              <w:top w:val="nil"/>
              <w:left w:val="nil"/>
              <w:bottom w:val="single" w:sz="4" w:space="0" w:color="auto"/>
              <w:right w:val="nil"/>
            </w:tcBorders>
            <w:shd w:val="clear" w:color="auto" w:fill="auto"/>
            <w:noWrap/>
            <w:vAlign w:val="center"/>
            <w:hideMark/>
          </w:tcPr>
          <w:p w14:paraId="08B58B89"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(0.22)</w:t>
            </w:r>
          </w:p>
        </w:tc>
        <w:tc>
          <w:tcPr>
            <w:tcW w:w="583" w:type="pct"/>
            <w:tcBorders>
              <w:top w:val="nil"/>
              <w:left w:val="nil"/>
              <w:bottom w:val="single" w:sz="4" w:space="0" w:color="auto"/>
              <w:right w:val="nil"/>
            </w:tcBorders>
            <w:shd w:val="clear" w:color="auto" w:fill="auto"/>
            <w:noWrap/>
            <w:vAlign w:val="center"/>
            <w:hideMark/>
          </w:tcPr>
          <w:p w14:paraId="37B6B633"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(0.30)</w:t>
            </w:r>
          </w:p>
        </w:tc>
        <w:tc>
          <w:tcPr>
            <w:tcW w:w="647" w:type="pct"/>
            <w:tcBorders>
              <w:top w:val="nil"/>
              <w:left w:val="nil"/>
              <w:bottom w:val="single" w:sz="4" w:space="0" w:color="auto"/>
              <w:right w:val="nil"/>
            </w:tcBorders>
            <w:shd w:val="clear" w:color="auto" w:fill="auto"/>
            <w:noWrap/>
            <w:vAlign w:val="center"/>
            <w:hideMark/>
          </w:tcPr>
          <w:p w14:paraId="77789B8A"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c>
          <w:tcPr>
            <w:tcW w:w="727" w:type="pct"/>
            <w:tcBorders>
              <w:top w:val="nil"/>
              <w:left w:val="nil"/>
              <w:bottom w:val="single" w:sz="4" w:space="0" w:color="auto"/>
              <w:right w:val="nil"/>
            </w:tcBorders>
            <w:shd w:val="clear" w:color="auto" w:fill="auto"/>
            <w:noWrap/>
            <w:vAlign w:val="center"/>
            <w:hideMark/>
          </w:tcPr>
          <w:p w14:paraId="68F3F53E"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(0.09)</w:t>
            </w:r>
          </w:p>
        </w:tc>
        <w:tc>
          <w:tcPr>
            <w:tcW w:w="556" w:type="pct"/>
            <w:tcBorders>
              <w:top w:val="nil"/>
              <w:left w:val="nil"/>
              <w:bottom w:val="single" w:sz="4" w:space="0" w:color="auto"/>
              <w:right w:val="nil"/>
            </w:tcBorders>
            <w:shd w:val="clear" w:color="auto" w:fill="auto"/>
            <w:noWrap/>
            <w:vAlign w:val="center"/>
            <w:hideMark/>
          </w:tcPr>
          <w:p w14:paraId="72142BF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(0.59)</w:t>
            </w:r>
          </w:p>
        </w:tc>
        <w:tc>
          <w:tcPr>
            <w:tcW w:w="340" w:type="pct"/>
            <w:tcBorders>
              <w:top w:val="nil"/>
              <w:left w:val="nil"/>
              <w:bottom w:val="single" w:sz="4" w:space="0" w:color="auto"/>
              <w:right w:val="nil"/>
            </w:tcBorders>
            <w:shd w:val="clear" w:color="auto" w:fill="auto"/>
            <w:noWrap/>
            <w:vAlign w:val="center"/>
            <w:hideMark/>
          </w:tcPr>
          <w:p w14:paraId="0AE72714" w14:textId="77777777" w:rsidR="00E37084" w:rsidRPr="00E37084" w:rsidRDefault="00E37084" w:rsidP="00E37084">
            <w:pPr>
              <w:spacing w:after="0" w:line="240" w:lineRule="auto"/>
              <w:jc w:val="right"/>
              <w:rPr>
                <w:rFonts w:eastAsia="Times New Roman"/>
                <w:color w:val="000000"/>
                <w:sz w:val="19"/>
                <w:szCs w:val="19"/>
                <w:lang w:eastAsia="en-AU"/>
              </w:rPr>
            </w:pPr>
            <w:r w:rsidRPr="00E37084">
              <w:rPr>
                <w:rFonts w:eastAsia="Times New Roman"/>
                <w:color w:val="000000"/>
                <w:sz w:val="19"/>
                <w:szCs w:val="19"/>
                <w:lang w:eastAsia="en-AU"/>
              </w:rPr>
              <w:t> </w:t>
            </w:r>
          </w:p>
        </w:tc>
      </w:tr>
    </w:tbl>
    <w:p w14:paraId="0C94DB73" w14:textId="16D6E585" w:rsidR="00401CAD" w:rsidRDefault="00EE68F9" w:rsidP="00777422">
      <w:pPr>
        <w:pStyle w:val="Notesourcetext"/>
      </w:pPr>
      <w:r>
        <w:t>Note: * denotes significance at the 95% level</w:t>
      </w:r>
    </w:p>
    <w:p w14:paraId="45B37DA7" w14:textId="77777777" w:rsidR="006574BC" w:rsidRPr="006574BC" w:rsidRDefault="006574BC" w:rsidP="006574BC">
      <w:pPr>
        <w:pStyle w:val="BodyText1"/>
      </w:pPr>
    </w:p>
    <w:p w14:paraId="11E85653" w14:textId="77777777" w:rsidR="00670D13" w:rsidRDefault="00670D13" w:rsidP="00670D13">
      <w:pPr>
        <w:pStyle w:val="Caption"/>
      </w:pPr>
      <w:bookmarkStart w:id="63" w:name="_Ref486528775"/>
      <w:bookmarkStart w:id="64" w:name="_Toc491356918"/>
      <w:bookmarkStart w:id="65" w:name="_Toc505345896"/>
      <w:r>
        <w:t xml:space="preserve">Table </w:t>
      </w:r>
      <w:r w:rsidR="00915ABD">
        <w:fldChar w:fldCharType="begin"/>
      </w:r>
      <w:r>
        <w:instrText xml:space="preserve"> SEQ Table \* ARABIC </w:instrText>
      </w:r>
      <w:r w:rsidR="00915ABD">
        <w:fldChar w:fldCharType="separate"/>
      </w:r>
      <w:r w:rsidR="00F709AB">
        <w:rPr>
          <w:noProof/>
        </w:rPr>
        <w:t>13</w:t>
      </w:r>
      <w:r w:rsidR="00915ABD">
        <w:fldChar w:fldCharType="end"/>
      </w:r>
      <w:bookmarkEnd w:id="63"/>
      <w:r>
        <w:t xml:space="preserve"> Regression results for land use by irrigation activity, SA Murray</w:t>
      </w:r>
      <w:bookmarkEnd w:id="64"/>
      <w:bookmarkEnd w:id="65"/>
    </w:p>
    <w:tbl>
      <w:tblPr>
        <w:tblW w:w="5000" w:type="pct"/>
        <w:tblLook w:val="04A0" w:firstRow="1" w:lastRow="0" w:firstColumn="1" w:lastColumn="0" w:noHBand="0" w:noVBand="1"/>
      </w:tblPr>
      <w:tblGrid>
        <w:gridCol w:w="1693"/>
        <w:gridCol w:w="1079"/>
        <w:gridCol w:w="1074"/>
        <w:gridCol w:w="1067"/>
        <w:gridCol w:w="1186"/>
        <w:gridCol w:w="1331"/>
        <w:gridCol w:w="1018"/>
        <w:gridCol w:w="622"/>
      </w:tblGrid>
      <w:tr w:rsidR="00AA13C5" w:rsidRPr="00AA13C5" w14:paraId="098A3DFE" w14:textId="77777777" w:rsidTr="00EE68F9">
        <w:trPr>
          <w:trHeight w:val="510"/>
        </w:trPr>
        <w:tc>
          <w:tcPr>
            <w:tcW w:w="933" w:type="pct"/>
            <w:tcBorders>
              <w:top w:val="single" w:sz="4" w:space="0" w:color="auto"/>
              <w:left w:val="nil"/>
              <w:bottom w:val="single" w:sz="4" w:space="0" w:color="auto"/>
              <w:right w:val="nil"/>
            </w:tcBorders>
            <w:shd w:val="clear" w:color="auto" w:fill="auto"/>
            <w:noWrap/>
            <w:vAlign w:val="center"/>
            <w:hideMark/>
          </w:tcPr>
          <w:p w14:paraId="31D2CCE7" w14:textId="77777777" w:rsidR="00AA13C5" w:rsidRPr="00AA13C5" w:rsidRDefault="00AA13C5" w:rsidP="00AA13C5">
            <w:pPr>
              <w:spacing w:after="0" w:line="240" w:lineRule="auto"/>
              <w:rPr>
                <w:rFonts w:eastAsia="Times New Roman"/>
                <w:b/>
                <w:bCs/>
                <w:color w:val="000000"/>
                <w:sz w:val="19"/>
                <w:szCs w:val="19"/>
                <w:lang w:eastAsia="en-AU"/>
              </w:rPr>
            </w:pPr>
            <w:r w:rsidRPr="00AA13C5">
              <w:rPr>
                <w:rFonts w:eastAsia="Times New Roman"/>
                <w:b/>
                <w:bCs/>
                <w:color w:val="000000"/>
                <w:sz w:val="19"/>
                <w:szCs w:val="19"/>
                <w:lang w:eastAsia="en-AU"/>
              </w:rPr>
              <w:t>Industry</w:t>
            </w:r>
          </w:p>
        </w:tc>
        <w:tc>
          <w:tcPr>
            <w:tcW w:w="595" w:type="pct"/>
            <w:tcBorders>
              <w:top w:val="single" w:sz="4" w:space="0" w:color="auto"/>
              <w:left w:val="nil"/>
              <w:bottom w:val="single" w:sz="4" w:space="0" w:color="auto"/>
              <w:right w:val="nil"/>
            </w:tcBorders>
            <w:shd w:val="clear" w:color="auto" w:fill="auto"/>
            <w:noWrap/>
            <w:vAlign w:val="center"/>
            <w:hideMark/>
          </w:tcPr>
          <w:p w14:paraId="7F0B81EC"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Constant</w:t>
            </w:r>
          </w:p>
        </w:tc>
        <w:tc>
          <w:tcPr>
            <w:tcW w:w="592" w:type="pct"/>
            <w:tcBorders>
              <w:top w:val="single" w:sz="4" w:space="0" w:color="auto"/>
              <w:left w:val="nil"/>
              <w:bottom w:val="single" w:sz="4" w:space="0" w:color="auto"/>
              <w:right w:val="nil"/>
            </w:tcBorders>
            <w:shd w:val="clear" w:color="auto" w:fill="auto"/>
            <w:noWrap/>
            <w:vAlign w:val="center"/>
            <w:hideMark/>
          </w:tcPr>
          <w:p w14:paraId="778429ED"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Price (P)</w:t>
            </w:r>
          </w:p>
        </w:tc>
        <w:tc>
          <w:tcPr>
            <w:tcW w:w="588" w:type="pct"/>
            <w:tcBorders>
              <w:top w:val="single" w:sz="4" w:space="0" w:color="auto"/>
              <w:left w:val="nil"/>
              <w:bottom w:val="single" w:sz="4" w:space="0" w:color="auto"/>
              <w:right w:val="nil"/>
            </w:tcBorders>
            <w:shd w:val="clear" w:color="auto" w:fill="auto"/>
            <w:vAlign w:val="center"/>
            <w:hideMark/>
          </w:tcPr>
          <w:p w14:paraId="24495838"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 xml:space="preserve">Output </w:t>
            </w:r>
            <w:r w:rsidRPr="00AA13C5">
              <w:rPr>
                <w:rFonts w:eastAsia="Times New Roman"/>
                <w:b/>
                <w:bCs/>
                <w:color w:val="000000"/>
                <w:sz w:val="19"/>
                <w:szCs w:val="19"/>
                <w:lang w:eastAsia="en-AU"/>
              </w:rPr>
              <w:br/>
              <w:t>price (Y)</w:t>
            </w:r>
          </w:p>
        </w:tc>
        <w:tc>
          <w:tcPr>
            <w:tcW w:w="654" w:type="pct"/>
            <w:tcBorders>
              <w:top w:val="single" w:sz="4" w:space="0" w:color="auto"/>
              <w:left w:val="nil"/>
              <w:bottom w:val="single" w:sz="4" w:space="0" w:color="auto"/>
              <w:right w:val="nil"/>
            </w:tcBorders>
            <w:shd w:val="clear" w:color="auto" w:fill="auto"/>
            <w:vAlign w:val="center"/>
            <w:hideMark/>
          </w:tcPr>
          <w:p w14:paraId="2CCA1E35"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 xml:space="preserve">Cotton </w:t>
            </w:r>
            <w:r w:rsidRPr="00AA13C5">
              <w:rPr>
                <w:rFonts w:eastAsia="Times New Roman"/>
                <w:b/>
                <w:bCs/>
                <w:color w:val="000000"/>
                <w:sz w:val="19"/>
                <w:szCs w:val="19"/>
                <w:lang w:eastAsia="en-AU"/>
              </w:rPr>
              <w:br/>
              <w:t>price (CY)</w:t>
            </w:r>
          </w:p>
        </w:tc>
        <w:tc>
          <w:tcPr>
            <w:tcW w:w="734" w:type="pct"/>
            <w:tcBorders>
              <w:top w:val="single" w:sz="4" w:space="0" w:color="auto"/>
              <w:left w:val="nil"/>
              <w:bottom w:val="single" w:sz="4" w:space="0" w:color="auto"/>
              <w:right w:val="nil"/>
            </w:tcBorders>
            <w:shd w:val="clear" w:color="auto" w:fill="auto"/>
            <w:noWrap/>
            <w:vAlign w:val="center"/>
            <w:hideMark/>
          </w:tcPr>
          <w:p w14:paraId="60F5A421"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Rainfall (R)</w:t>
            </w:r>
          </w:p>
        </w:tc>
        <w:tc>
          <w:tcPr>
            <w:tcW w:w="561" w:type="pct"/>
            <w:tcBorders>
              <w:top w:val="single" w:sz="4" w:space="0" w:color="auto"/>
              <w:left w:val="nil"/>
              <w:bottom w:val="single" w:sz="4" w:space="0" w:color="auto"/>
              <w:right w:val="nil"/>
            </w:tcBorders>
            <w:shd w:val="clear" w:color="auto" w:fill="auto"/>
            <w:noWrap/>
            <w:vAlign w:val="center"/>
            <w:hideMark/>
          </w:tcPr>
          <w:p w14:paraId="4AA66DC3"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Time (t)</w:t>
            </w:r>
          </w:p>
        </w:tc>
        <w:tc>
          <w:tcPr>
            <w:tcW w:w="343" w:type="pct"/>
            <w:tcBorders>
              <w:top w:val="single" w:sz="4" w:space="0" w:color="auto"/>
              <w:left w:val="nil"/>
              <w:bottom w:val="single" w:sz="4" w:space="0" w:color="auto"/>
              <w:right w:val="nil"/>
            </w:tcBorders>
            <w:shd w:val="clear" w:color="auto" w:fill="auto"/>
            <w:noWrap/>
            <w:vAlign w:val="center"/>
            <w:hideMark/>
          </w:tcPr>
          <w:p w14:paraId="6DCDC1A1"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R</w:t>
            </w:r>
            <w:r w:rsidRPr="00AA13C5">
              <w:rPr>
                <w:rFonts w:eastAsia="Times New Roman"/>
                <w:b/>
                <w:bCs/>
                <w:color w:val="000000"/>
                <w:sz w:val="19"/>
                <w:szCs w:val="19"/>
                <w:vertAlign w:val="superscript"/>
                <w:lang w:eastAsia="en-AU"/>
              </w:rPr>
              <w:t>2</w:t>
            </w:r>
          </w:p>
        </w:tc>
      </w:tr>
      <w:tr w:rsidR="00AA13C5" w:rsidRPr="00AA13C5" w14:paraId="6766A3CD" w14:textId="77777777" w:rsidTr="00EE68F9">
        <w:trPr>
          <w:trHeight w:val="300"/>
        </w:trPr>
        <w:tc>
          <w:tcPr>
            <w:tcW w:w="933" w:type="pct"/>
            <w:tcBorders>
              <w:top w:val="nil"/>
              <w:left w:val="nil"/>
              <w:bottom w:val="nil"/>
              <w:right w:val="nil"/>
            </w:tcBorders>
            <w:shd w:val="clear" w:color="auto" w:fill="auto"/>
            <w:noWrap/>
            <w:vAlign w:val="center"/>
            <w:hideMark/>
          </w:tcPr>
          <w:p w14:paraId="17790088"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Cotton-Rice</w:t>
            </w:r>
          </w:p>
        </w:tc>
        <w:tc>
          <w:tcPr>
            <w:tcW w:w="595" w:type="pct"/>
            <w:tcBorders>
              <w:top w:val="nil"/>
              <w:left w:val="nil"/>
              <w:bottom w:val="nil"/>
              <w:right w:val="nil"/>
            </w:tcBorders>
            <w:shd w:val="clear" w:color="auto" w:fill="auto"/>
            <w:noWrap/>
            <w:vAlign w:val="center"/>
            <w:hideMark/>
          </w:tcPr>
          <w:p w14:paraId="18163148" w14:textId="77777777" w:rsidR="00AA13C5" w:rsidRPr="00AA13C5" w:rsidRDefault="00AA13C5" w:rsidP="00AA13C5">
            <w:pPr>
              <w:spacing w:after="0" w:line="240" w:lineRule="auto"/>
              <w:rPr>
                <w:rFonts w:eastAsia="Times New Roman"/>
                <w:color w:val="000000"/>
                <w:sz w:val="19"/>
                <w:szCs w:val="19"/>
                <w:lang w:eastAsia="en-AU"/>
              </w:rPr>
            </w:pPr>
          </w:p>
        </w:tc>
        <w:tc>
          <w:tcPr>
            <w:tcW w:w="592" w:type="pct"/>
            <w:tcBorders>
              <w:top w:val="nil"/>
              <w:left w:val="nil"/>
              <w:bottom w:val="nil"/>
              <w:right w:val="nil"/>
            </w:tcBorders>
            <w:shd w:val="clear" w:color="auto" w:fill="auto"/>
            <w:noWrap/>
            <w:vAlign w:val="center"/>
            <w:hideMark/>
          </w:tcPr>
          <w:p w14:paraId="266D62C3"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88" w:type="pct"/>
            <w:tcBorders>
              <w:top w:val="nil"/>
              <w:left w:val="nil"/>
              <w:bottom w:val="nil"/>
              <w:right w:val="nil"/>
            </w:tcBorders>
            <w:shd w:val="clear" w:color="auto" w:fill="auto"/>
            <w:noWrap/>
            <w:vAlign w:val="center"/>
            <w:hideMark/>
          </w:tcPr>
          <w:p w14:paraId="4D7290E1"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654" w:type="pct"/>
            <w:tcBorders>
              <w:top w:val="nil"/>
              <w:left w:val="nil"/>
              <w:bottom w:val="nil"/>
              <w:right w:val="nil"/>
            </w:tcBorders>
            <w:shd w:val="clear" w:color="auto" w:fill="auto"/>
            <w:noWrap/>
            <w:vAlign w:val="center"/>
            <w:hideMark/>
          </w:tcPr>
          <w:p w14:paraId="3F2CF0DD"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3A21220E"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61" w:type="pct"/>
            <w:tcBorders>
              <w:top w:val="nil"/>
              <w:left w:val="nil"/>
              <w:bottom w:val="nil"/>
              <w:right w:val="nil"/>
            </w:tcBorders>
            <w:shd w:val="clear" w:color="auto" w:fill="auto"/>
            <w:noWrap/>
            <w:vAlign w:val="center"/>
            <w:hideMark/>
          </w:tcPr>
          <w:p w14:paraId="24244FC6"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343" w:type="pct"/>
            <w:tcBorders>
              <w:top w:val="nil"/>
              <w:left w:val="nil"/>
              <w:bottom w:val="nil"/>
              <w:right w:val="nil"/>
            </w:tcBorders>
            <w:shd w:val="clear" w:color="auto" w:fill="auto"/>
            <w:noWrap/>
            <w:vAlign w:val="center"/>
            <w:hideMark/>
          </w:tcPr>
          <w:p w14:paraId="20152CD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r>
      <w:tr w:rsidR="00AA13C5" w:rsidRPr="00AA13C5" w14:paraId="594E4ABC" w14:textId="77777777" w:rsidTr="00EE68F9">
        <w:trPr>
          <w:trHeight w:val="300"/>
        </w:trPr>
        <w:tc>
          <w:tcPr>
            <w:tcW w:w="933" w:type="pct"/>
            <w:tcBorders>
              <w:top w:val="nil"/>
              <w:left w:val="nil"/>
              <w:bottom w:val="nil"/>
              <w:right w:val="nil"/>
            </w:tcBorders>
            <w:shd w:val="clear" w:color="auto" w:fill="auto"/>
            <w:noWrap/>
            <w:vAlign w:val="center"/>
            <w:hideMark/>
          </w:tcPr>
          <w:p w14:paraId="67A6CBE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04EA6F36" w14:textId="77777777" w:rsidR="00AA13C5" w:rsidRPr="00AA13C5" w:rsidRDefault="00AA13C5" w:rsidP="00AA13C5">
            <w:pPr>
              <w:spacing w:after="0" w:line="240" w:lineRule="auto"/>
              <w:rPr>
                <w:rFonts w:ascii="Times New Roman" w:eastAsia="Times New Roman" w:hAnsi="Times New Roman"/>
                <w:color w:val="auto"/>
                <w:sz w:val="20"/>
                <w:szCs w:val="20"/>
                <w:lang w:eastAsia="en-AU"/>
              </w:rPr>
            </w:pPr>
          </w:p>
        </w:tc>
        <w:tc>
          <w:tcPr>
            <w:tcW w:w="592" w:type="pct"/>
            <w:tcBorders>
              <w:top w:val="nil"/>
              <w:left w:val="nil"/>
              <w:bottom w:val="nil"/>
              <w:right w:val="nil"/>
            </w:tcBorders>
            <w:shd w:val="clear" w:color="auto" w:fill="auto"/>
            <w:noWrap/>
            <w:vAlign w:val="center"/>
            <w:hideMark/>
          </w:tcPr>
          <w:p w14:paraId="30B926DC"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88" w:type="pct"/>
            <w:tcBorders>
              <w:top w:val="nil"/>
              <w:left w:val="nil"/>
              <w:bottom w:val="nil"/>
              <w:right w:val="nil"/>
            </w:tcBorders>
            <w:shd w:val="clear" w:color="auto" w:fill="auto"/>
            <w:noWrap/>
            <w:vAlign w:val="center"/>
            <w:hideMark/>
          </w:tcPr>
          <w:p w14:paraId="4A14A142"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654" w:type="pct"/>
            <w:tcBorders>
              <w:top w:val="nil"/>
              <w:left w:val="nil"/>
              <w:bottom w:val="nil"/>
              <w:right w:val="nil"/>
            </w:tcBorders>
            <w:shd w:val="clear" w:color="auto" w:fill="auto"/>
            <w:noWrap/>
            <w:vAlign w:val="center"/>
            <w:hideMark/>
          </w:tcPr>
          <w:p w14:paraId="147B4AEE"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734" w:type="pct"/>
            <w:tcBorders>
              <w:top w:val="nil"/>
              <w:left w:val="nil"/>
              <w:bottom w:val="nil"/>
              <w:right w:val="nil"/>
            </w:tcBorders>
            <w:shd w:val="clear" w:color="auto" w:fill="auto"/>
            <w:noWrap/>
            <w:vAlign w:val="center"/>
            <w:hideMark/>
          </w:tcPr>
          <w:p w14:paraId="58F639CB"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61" w:type="pct"/>
            <w:tcBorders>
              <w:top w:val="nil"/>
              <w:left w:val="nil"/>
              <w:bottom w:val="nil"/>
              <w:right w:val="nil"/>
            </w:tcBorders>
            <w:shd w:val="clear" w:color="auto" w:fill="auto"/>
            <w:noWrap/>
            <w:vAlign w:val="center"/>
            <w:hideMark/>
          </w:tcPr>
          <w:p w14:paraId="7913F676"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343" w:type="pct"/>
            <w:tcBorders>
              <w:top w:val="nil"/>
              <w:left w:val="nil"/>
              <w:bottom w:val="nil"/>
              <w:right w:val="nil"/>
            </w:tcBorders>
            <w:shd w:val="clear" w:color="auto" w:fill="auto"/>
            <w:noWrap/>
            <w:vAlign w:val="center"/>
            <w:hideMark/>
          </w:tcPr>
          <w:p w14:paraId="0DE30548"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r>
      <w:tr w:rsidR="00AA13C5" w:rsidRPr="00AA13C5" w14:paraId="4F0BEC14" w14:textId="77777777" w:rsidTr="00EE68F9">
        <w:trPr>
          <w:trHeight w:val="300"/>
        </w:trPr>
        <w:tc>
          <w:tcPr>
            <w:tcW w:w="933" w:type="pct"/>
            <w:tcBorders>
              <w:top w:val="nil"/>
              <w:left w:val="nil"/>
              <w:bottom w:val="nil"/>
              <w:right w:val="nil"/>
            </w:tcBorders>
            <w:shd w:val="clear" w:color="auto" w:fill="auto"/>
            <w:noWrap/>
            <w:vAlign w:val="center"/>
            <w:hideMark/>
          </w:tcPr>
          <w:p w14:paraId="2B95F540"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Vegetables</w:t>
            </w:r>
          </w:p>
        </w:tc>
        <w:tc>
          <w:tcPr>
            <w:tcW w:w="595" w:type="pct"/>
            <w:tcBorders>
              <w:top w:val="nil"/>
              <w:left w:val="nil"/>
              <w:bottom w:val="nil"/>
              <w:right w:val="nil"/>
            </w:tcBorders>
            <w:shd w:val="clear" w:color="auto" w:fill="auto"/>
            <w:noWrap/>
            <w:vAlign w:val="center"/>
            <w:hideMark/>
          </w:tcPr>
          <w:p w14:paraId="32EE61C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949.34</w:t>
            </w:r>
          </w:p>
        </w:tc>
        <w:tc>
          <w:tcPr>
            <w:tcW w:w="592" w:type="pct"/>
            <w:tcBorders>
              <w:top w:val="nil"/>
              <w:left w:val="nil"/>
              <w:bottom w:val="nil"/>
              <w:right w:val="nil"/>
            </w:tcBorders>
            <w:shd w:val="clear" w:color="auto" w:fill="auto"/>
            <w:noWrap/>
            <w:vAlign w:val="center"/>
            <w:hideMark/>
          </w:tcPr>
          <w:p w14:paraId="7E290A3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-1.50</w:t>
            </w:r>
          </w:p>
        </w:tc>
        <w:tc>
          <w:tcPr>
            <w:tcW w:w="588" w:type="pct"/>
            <w:tcBorders>
              <w:top w:val="nil"/>
              <w:left w:val="nil"/>
              <w:bottom w:val="nil"/>
              <w:right w:val="nil"/>
            </w:tcBorders>
            <w:shd w:val="clear" w:color="auto" w:fill="auto"/>
            <w:noWrap/>
            <w:vAlign w:val="center"/>
            <w:hideMark/>
          </w:tcPr>
          <w:p w14:paraId="0779EFC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44.37</w:t>
            </w:r>
          </w:p>
        </w:tc>
        <w:tc>
          <w:tcPr>
            <w:tcW w:w="654" w:type="pct"/>
            <w:tcBorders>
              <w:top w:val="nil"/>
              <w:left w:val="nil"/>
              <w:bottom w:val="nil"/>
              <w:right w:val="nil"/>
            </w:tcBorders>
            <w:shd w:val="clear" w:color="auto" w:fill="auto"/>
            <w:noWrap/>
            <w:vAlign w:val="center"/>
            <w:hideMark/>
          </w:tcPr>
          <w:p w14:paraId="6BF021EB"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76522DE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-2.09</w:t>
            </w:r>
          </w:p>
        </w:tc>
        <w:tc>
          <w:tcPr>
            <w:tcW w:w="561" w:type="pct"/>
            <w:tcBorders>
              <w:top w:val="nil"/>
              <w:left w:val="nil"/>
              <w:bottom w:val="nil"/>
              <w:right w:val="nil"/>
            </w:tcBorders>
            <w:shd w:val="clear" w:color="auto" w:fill="auto"/>
            <w:noWrap/>
            <w:vAlign w:val="center"/>
            <w:hideMark/>
          </w:tcPr>
          <w:p w14:paraId="49B7E8B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-290.05</w:t>
            </w:r>
          </w:p>
        </w:tc>
        <w:tc>
          <w:tcPr>
            <w:tcW w:w="343" w:type="pct"/>
            <w:tcBorders>
              <w:top w:val="nil"/>
              <w:left w:val="nil"/>
              <w:bottom w:val="nil"/>
              <w:right w:val="nil"/>
            </w:tcBorders>
            <w:shd w:val="clear" w:color="auto" w:fill="auto"/>
            <w:noWrap/>
            <w:vAlign w:val="center"/>
            <w:hideMark/>
          </w:tcPr>
          <w:p w14:paraId="2F684AD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0.20</w:t>
            </w:r>
          </w:p>
        </w:tc>
      </w:tr>
      <w:tr w:rsidR="00AA13C5" w:rsidRPr="00AA13C5" w14:paraId="7D8B4411" w14:textId="77777777" w:rsidTr="00EE68F9">
        <w:trPr>
          <w:trHeight w:val="300"/>
        </w:trPr>
        <w:tc>
          <w:tcPr>
            <w:tcW w:w="933" w:type="pct"/>
            <w:tcBorders>
              <w:top w:val="nil"/>
              <w:left w:val="nil"/>
              <w:bottom w:val="nil"/>
              <w:right w:val="nil"/>
            </w:tcBorders>
            <w:shd w:val="clear" w:color="auto" w:fill="auto"/>
            <w:noWrap/>
            <w:vAlign w:val="center"/>
            <w:hideMark/>
          </w:tcPr>
          <w:p w14:paraId="176C8A2B"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39FD515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(0.89)</w:t>
            </w:r>
          </w:p>
        </w:tc>
        <w:tc>
          <w:tcPr>
            <w:tcW w:w="592" w:type="pct"/>
            <w:tcBorders>
              <w:top w:val="nil"/>
              <w:left w:val="nil"/>
              <w:bottom w:val="nil"/>
              <w:right w:val="nil"/>
            </w:tcBorders>
            <w:shd w:val="clear" w:color="auto" w:fill="auto"/>
            <w:noWrap/>
            <w:vAlign w:val="center"/>
            <w:hideMark/>
          </w:tcPr>
          <w:p w14:paraId="46272A0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(0.42)</w:t>
            </w:r>
          </w:p>
        </w:tc>
        <w:tc>
          <w:tcPr>
            <w:tcW w:w="588" w:type="pct"/>
            <w:tcBorders>
              <w:top w:val="nil"/>
              <w:left w:val="nil"/>
              <w:bottom w:val="nil"/>
              <w:right w:val="nil"/>
            </w:tcBorders>
            <w:shd w:val="clear" w:color="auto" w:fill="auto"/>
            <w:noWrap/>
            <w:vAlign w:val="center"/>
            <w:hideMark/>
          </w:tcPr>
          <w:p w14:paraId="67847F8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(0.45)</w:t>
            </w:r>
          </w:p>
        </w:tc>
        <w:tc>
          <w:tcPr>
            <w:tcW w:w="654" w:type="pct"/>
            <w:tcBorders>
              <w:top w:val="nil"/>
              <w:left w:val="nil"/>
              <w:bottom w:val="nil"/>
              <w:right w:val="nil"/>
            </w:tcBorders>
            <w:shd w:val="clear" w:color="auto" w:fill="auto"/>
            <w:noWrap/>
            <w:vAlign w:val="center"/>
            <w:hideMark/>
          </w:tcPr>
          <w:p w14:paraId="611D12DE"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3369AAA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(0.51)</w:t>
            </w:r>
          </w:p>
        </w:tc>
        <w:tc>
          <w:tcPr>
            <w:tcW w:w="561" w:type="pct"/>
            <w:tcBorders>
              <w:top w:val="nil"/>
              <w:left w:val="nil"/>
              <w:bottom w:val="nil"/>
              <w:right w:val="nil"/>
            </w:tcBorders>
            <w:shd w:val="clear" w:color="auto" w:fill="auto"/>
            <w:noWrap/>
            <w:vAlign w:val="center"/>
            <w:hideMark/>
          </w:tcPr>
          <w:p w14:paraId="77C4F15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(0.34)</w:t>
            </w:r>
          </w:p>
        </w:tc>
        <w:tc>
          <w:tcPr>
            <w:tcW w:w="343" w:type="pct"/>
            <w:tcBorders>
              <w:top w:val="nil"/>
              <w:left w:val="nil"/>
              <w:bottom w:val="nil"/>
              <w:right w:val="nil"/>
            </w:tcBorders>
            <w:shd w:val="clear" w:color="auto" w:fill="auto"/>
            <w:noWrap/>
            <w:vAlign w:val="center"/>
            <w:hideMark/>
          </w:tcPr>
          <w:p w14:paraId="596B1ED9"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AA13C5" w:rsidRPr="00AA13C5" w14:paraId="51D05C98" w14:textId="77777777" w:rsidTr="00EE68F9">
        <w:trPr>
          <w:trHeight w:val="300"/>
        </w:trPr>
        <w:tc>
          <w:tcPr>
            <w:tcW w:w="933" w:type="pct"/>
            <w:tcBorders>
              <w:top w:val="nil"/>
              <w:left w:val="nil"/>
              <w:bottom w:val="nil"/>
              <w:right w:val="nil"/>
            </w:tcBorders>
            <w:shd w:val="clear" w:color="auto" w:fill="auto"/>
            <w:noWrap/>
            <w:vAlign w:val="center"/>
            <w:hideMark/>
          </w:tcPr>
          <w:p w14:paraId="62BF4D30"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Other broadacre</w:t>
            </w:r>
          </w:p>
        </w:tc>
        <w:tc>
          <w:tcPr>
            <w:tcW w:w="595" w:type="pct"/>
            <w:tcBorders>
              <w:top w:val="nil"/>
              <w:left w:val="nil"/>
              <w:bottom w:val="nil"/>
              <w:right w:val="nil"/>
            </w:tcBorders>
            <w:shd w:val="clear" w:color="auto" w:fill="auto"/>
            <w:noWrap/>
            <w:vAlign w:val="center"/>
            <w:hideMark/>
          </w:tcPr>
          <w:p w14:paraId="600124F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-275.08*</w:t>
            </w:r>
          </w:p>
        </w:tc>
        <w:tc>
          <w:tcPr>
            <w:tcW w:w="592" w:type="pct"/>
            <w:tcBorders>
              <w:top w:val="nil"/>
              <w:left w:val="nil"/>
              <w:bottom w:val="nil"/>
              <w:right w:val="nil"/>
            </w:tcBorders>
            <w:shd w:val="clear" w:color="auto" w:fill="auto"/>
            <w:noWrap/>
            <w:vAlign w:val="center"/>
            <w:hideMark/>
          </w:tcPr>
          <w:p w14:paraId="26F33115"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88" w:type="pct"/>
            <w:tcBorders>
              <w:top w:val="nil"/>
              <w:left w:val="nil"/>
              <w:bottom w:val="nil"/>
              <w:right w:val="nil"/>
            </w:tcBorders>
            <w:shd w:val="clear" w:color="auto" w:fill="auto"/>
            <w:noWrap/>
            <w:vAlign w:val="center"/>
            <w:hideMark/>
          </w:tcPr>
          <w:p w14:paraId="5AAEABF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0.97</w:t>
            </w:r>
          </w:p>
        </w:tc>
        <w:tc>
          <w:tcPr>
            <w:tcW w:w="654" w:type="pct"/>
            <w:tcBorders>
              <w:top w:val="nil"/>
              <w:left w:val="nil"/>
              <w:bottom w:val="nil"/>
              <w:right w:val="nil"/>
            </w:tcBorders>
            <w:shd w:val="clear" w:color="auto" w:fill="auto"/>
            <w:noWrap/>
            <w:vAlign w:val="center"/>
            <w:hideMark/>
          </w:tcPr>
          <w:p w14:paraId="7A076164"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08302A8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0.55*</w:t>
            </w:r>
          </w:p>
        </w:tc>
        <w:tc>
          <w:tcPr>
            <w:tcW w:w="561" w:type="pct"/>
            <w:tcBorders>
              <w:top w:val="nil"/>
              <w:left w:val="nil"/>
              <w:bottom w:val="nil"/>
              <w:right w:val="nil"/>
            </w:tcBorders>
            <w:shd w:val="clear" w:color="auto" w:fill="auto"/>
            <w:noWrap/>
            <w:vAlign w:val="center"/>
            <w:hideMark/>
          </w:tcPr>
          <w:p w14:paraId="3ADD020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1.03</w:t>
            </w:r>
          </w:p>
        </w:tc>
        <w:tc>
          <w:tcPr>
            <w:tcW w:w="343" w:type="pct"/>
            <w:tcBorders>
              <w:top w:val="nil"/>
              <w:left w:val="nil"/>
              <w:bottom w:val="nil"/>
              <w:right w:val="nil"/>
            </w:tcBorders>
            <w:shd w:val="clear" w:color="auto" w:fill="auto"/>
            <w:noWrap/>
            <w:vAlign w:val="center"/>
            <w:hideMark/>
          </w:tcPr>
          <w:p w14:paraId="4BA3466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0.76</w:t>
            </w:r>
          </w:p>
        </w:tc>
      </w:tr>
      <w:tr w:rsidR="00AA13C5" w:rsidRPr="00AA13C5" w14:paraId="135B785D" w14:textId="77777777" w:rsidTr="00EE68F9">
        <w:trPr>
          <w:trHeight w:val="300"/>
        </w:trPr>
        <w:tc>
          <w:tcPr>
            <w:tcW w:w="933" w:type="pct"/>
            <w:tcBorders>
              <w:top w:val="nil"/>
              <w:left w:val="nil"/>
              <w:bottom w:val="nil"/>
              <w:right w:val="nil"/>
            </w:tcBorders>
            <w:shd w:val="clear" w:color="auto" w:fill="auto"/>
            <w:noWrap/>
            <w:vAlign w:val="center"/>
            <w:hideMark/>
          </w:tcPr>
          <w:p w14:paraId="417D0D22"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756DA9F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592" w:type="pct"/>
            <w:tcBorders>
              <w:top w:val="nil"/>
              <w:left w:val="nil"/>
              <w:bottom w:val="nil"/>
              <w:right w:val="nil"/>
            </w:tcBorders>
            <w:shd w:val="clear" w:color="auto" w:fill="auto"/>
            <w:noWrap/>
            <w:vAlign w:val="center"/>
            <w:hideMark/>
          </w:tcPr>
          <w:p w14:paraId="0B1F4A8C"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88" w:type="pct"/>
            <w:tcBorders>
              <w:top w:val="nil"/>
              <w:left w:val="nil"/>
              <w:bottom w:val="nil"/>
              <w:right w:val="nil"/>
            </w:tcBorders>
            <w:shd w:val="clear" w:color="auto" w:fill="auto"/>
            <w:noWrap/>
            <w:vAlign w:val="center"/>
            <w:hideMark/>
          </w:tcPr>
          <w:p w14:paraId="4A7B853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(0.14)</w:t>
            </w:r>
          </w:p>
        </w:tc>
        <w:tc>
          <w:tcPr>
            <w:tcW w:w="654" w:type="pct"/>
            <w:tcBorders>
              <w:top w:val="nil"/>
              <w:left w:val="nil"/>
              <w:bottom w:val="nil"/>
              <w:right w:val="nil"/>
            </w:tcBorders>
            <w:shd w:val="clear" w:color="auto" w:fill="auto"/>
            <w:noWrap/>
            <w:vAlign w:val="center"/>
            <w:hideMark/>
          </w:tcPr>
          <w:p w14:paraId="7FB3980D"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27DD269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561" w:type="pct"/>
            <w:tcBorders>
              <w:top w:val="nil"/>
              <w:left w:val="nil"/>
              <w:bottom w:val="nil"/>
              <w:right w:val="nil"/>
            </w:tcBorders>
            <w:shd w:val="clear" w:color="auto" w:fill="auto"/>
            <w:noWrap/>
            <w:vAlign w:val="center"/>
            <w:hideMark/>
          </w:tcPr>
          <w:p w14:paraId="6A1DDF5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(0.78)</w:t>
            </w:r>
          </w:p>
        </w:tc>
        <w:tc>
          <w:tcPr>
            <w:tcW w:w="343" w:type="pct"/>
            <w:tcBorders>
              <w:top w:val="nil"/>
              <w:left w:val="nil"/>
              <w:bottom w:val="nil"/>
              <w:right w:val="nil"/>
            </w:tcBorders>
            <w:shd w:val="clear" w:color="auto" w:fill="auto"/>
            <w:noWrap/>
            <w:vAlign w:val="center"/>
            <w:hideMark/>
          </w:tcPr>
          <w:p w14:paraId="170E1C2C"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AA13C5" w:rsidRPr="00AA13C5" w14:paraId="2307C74C" w14:textId="77777777" w:rsidTr="00EE68F9">
        <w:trPr>
          <w:trHeight w:val="300"/>
        </w:trPr>
        <w:tc>
          <w:tcPr>
            <w:tcW w:w="933" w:type="pct"/>
            <w:tcBorders>
              <w:top w:val="nil"/>
              <w:left w:val="nil"/>
              <w:bottom w:val="nil"/>
              <w:right w:val="nil"/>
            </w:tcBorders>
            <w:shd w:val="clear" w:color="auto" w:fill="auto"/>
            <w:noWrap/>
            <w:vAlign w:val="center"/>
            <w:hideMark/>
          </w:tcPr>
          <w:p w14:paraId="372539FD"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Other cereals</w:t>
            </w:r>
          </w:p>
        </w:tc>
        <w:tc>
          <w:tcPr>
            <w:tcW w:w="595" w:type="pct"/>
            <w:tcBorders>
              <w:top w:val="nil"/>
              <w:left w:val="nil"/>
              <w:bottom w:val="nil"/>
              <w:right w:val="nil"/>
            </w:tcBorders>
            <w:shd w:val="clear" w:color="auto" w:fill="auto"/>
            <w:noWrap/>
            <w:vAlign w:val="center"/>
            <w:hideMark/>
          </w:tcPr>
          <w:p w14:paraId="2A2E6D3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965.14</w:t>
            </w:r>
          </w:p>
        </w:tc>
        <w:tc>
          <w:tcPr>
            <w:tcW w:w="592" w:type="pct"/>
            <w:tcBorders>
              <w:top w:val="nil"/>
              <w:left w:val="nil"/>
              <w:bottom w:val="nil"/>
              <w:right w:val="nil"/>
            </w:tcBorders>
            <w:shd w:val="clear" w:color="auto" w:fill="auto"/>
            <w:noWrap/>
            <w:vAlign w:val="center"/>
            <w:hideMark/>
          </w:tcPr>
          <w:p w14:paraId="5220835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-1.32</w:t>
            </w:r>
          </w:p>
        </w:tc>
        <w:tc>
          <w:tcPr>
            <w:tcW w:w="588" w:type="pct"/>
            <w:tcBorders>
              <w:top w:val="nil"/>
              <w:left w:val="nil"/>
              <w:bottom w:val="nil"/>
              <w:right w:val="nil"/>
            </w:tcBorders>
            <w:shd w:val="clear" w:color="auto" w:fill="auto"/>
            <w:noWrap/>
            <w:vAlign w:val="center"/>
            <w:hideMark/>
          </w:tcPr>
          <w:p w14:paraId="445B687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3.58</w:t>
            </w:r>
          </w:p>
        </w:tc>
        <w:tc>
          <w:tcPr>
            <w:tcW w:w="654" w:type="pct"/>
            <w:tcBorders>
              <w:top w:val="nil"/>
              <w:left w:val="nil"/>
              <w:bottom w:val="nil"/>
              <w:right w:val="nil"/>
            </w:tcBorders>
            <w:shd w:val="clear" w:color="auto" w:fill="auto"/>
            <w:noWrap/>
            <w:vAlign w:val="center"/>
            <w:hideMark/>
          </w:tcPr>
          <w:p w14:paraId="01C35821"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3E18949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-0.80</w:t>
            </w:r>
          </w:p>
        </w:tc>
        <w:tc>
          <w:tcPr>
            <w:tcW w:w="561" w:type="pct"/>
            <w:tcBorders>
              <w:top w:val="nil"/>
              <w:left w:val="nil"/>
              <w:bottom w:val="nil"/>
              <w:right w:val="nil"/>
            </w:tcBorders>
            <w:shd w:val="clear" w:color="auto" w:fill="auto"/>
            <w:noWrap/>
            <w:vAlign w:val="center"/>
            <w:hideMark/>
          </w:tcPr>
          <w:p w14:paraId="500A7F2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-80.15</w:t>
            </w:r>
          </w:p>
        </w:tc>
        <w:tc>
          <w:tcPr>
            <w:tcW w:w="343" w:type="pct"/>
            <w:tcBorders>
              <w:top w:val="nil"/>
              <w:left w:val="nil"/>
              <w:bottom w:val="nil"/>
              <w:right w:val="nil"/>
            </w:tcBorders>
            <w:shd w:val="clear" w:color="auto" w:fill="auto"/>
            <w:noWrap/>
            <w:vAlign w:val="center"/>
            <w:hideMark/>
          </w:tcPr>
          <w:p w14:paraId="3DBD523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0.23</w:t>
            </w:r>
          </w:p>
        </w:tc>
      </w:tr>
      <w:tr w:rsidR="00AA13C5" w:rsidRPr="00AA13C5" w14:paraId="2FB92805" w14:textId="77777777" w:rsidTr="00EE68F9">
        <w:trPr>
          <w:trHeight w:val="300"/>
        </w:trPr>
        <w:tc>
          <w:tcPr>
            <w:tcW w:w="933" w:type="pct"/>
            <w:tcBorders>
              <w:top w:val="nil"/>
              <w:left w:val="nil"/>
              <w:bottom w:val="nil"/>
              <w:right w:val="nil"/>
            </w:tcBorders>
            <w:shd w:val="clear" w:color="auto" w:fill="auto"/>
            <w:noWrap/>
            <w:vAlign w:val="center"/>
            <w:hideMark/>
          </w:tcPr>
          <w:p w14:paraId="7C7574BD"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410C777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(0.47)</w:t>
            </w:r>
          </w:p>
        </w:tc>
        <w:tc>
          <w:tcPr>
            <w:tcW w:w="592" w:type="pct"/>
            <w:tcBorders>
              <w:top w:val="nil"/>
              <w:left w:val="nil"/>
              <w:bottom w:val="nil"/>
              <w:right w:val="nil"/>
            </w:tcBorders>
            <w:shd w:val="clear" w:color="auto" w:fill="auto"/>
            <w:noWrap/>
            <w:vAlign w:val="center"/>
            <w:hideMark/>
          </w:tcPr>
          <w:p w14:paraId="164FCD0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(0.35)</w:t>
            </w:r>
          </w:p>
        </w:tc>
        <w:tc>
          <w:tcPr>
            <w:tcW w:w="588" w:type="pct"/>
            <w:tcBorders>
              <w:top w:val="nil"/>
              <w:left w:val="nil"/>
              <w:bottom w:val="nil"/>
              <w:right w:val="nil"/>
            </w:tcBorders>
            <w:shd w:val="clear" w:color="auto" w:fill="auto"/>
            <w:noWrap/>
            <w:vAlign w:val="center"/>
            <w:hideMark/>
          </w:tcPr>
          <w:p w14:paraId="0E78386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(0.73)</w:t>
            </w:r>
          </w:p>
        </w:tc>
        <w:tc>
          <w:tcPr>
            <w:tcW w:w="654" w:type="pct"/>
            <w:tcBorders>
              <w:top w:val="nil"/>
              <w:left w:val="nil"/>
              <w:bottom w:val="nil"/>
              <w:right w:val="nil"/>
            </w:tcBorders>
            <w:shd w:val="clear" w:color="auto" w:fill="auto"/>
            <w:noWrap/>
            <w:vAlign w:val="center"/>
            <w:hideMark/>
          </w:tcPr>
          <w:p w14:paraId="3518216E"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79C74F4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(0.66)</w:t>
            </w:r>
          </w:p>
        </w:tc>
        <w:tc>
          <w:tcPr>
            <w:tcW w:w="561" w:type="pct"/>
            <w:tcBorders>
              <w:top w:val="nil"/>
              <w:left w:val="nil"/>
              <w:bottom w:val="nil"/>
              <w:right w:val="nil"/>
            </w:tcBorders>
            <w:shd w:val="clear" w:color="auto" w:fill="auto"/>
            <w:noWrap/>
            <w:vAlign w:val="center"/>
            <w:hideMark/>
          </w:tcPr>
          <w:p w14:paraId="6E393A3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(0.31)</w:t>
            </w:r>
          </w:p>
        </w:tc>
        <w:tc>
          <w:tcPr>
            <w:tcW w:w="343" w:type="pct"/>
            <w:tcBorders>
              <w:top w:val="nil"/>
              <w:left w:val="nil"/>
              <w:bottom w:val="nil"/>
              <w:right w:val="nil"/>
            </w:tcBorders>
            <w:shd w:val="clear" w:color="auto" w:fill="auto"/>
            <w:noWrap/>
            <w:vAlign w:val="center"/>
            <w:hideMark/>
          </w:tcPr>
          <w:p w14:paraId="247B780C"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AA13C5" w:rsidRPr="00AA13C5" w14:paraId="734D51BB" w14:textId="77777777" w:rsidTr="00EE68F9">
        <w:trPr>
          <w:trHeight w:val="300"/>
        </w:trPr>
        <w:tc>
          <w:tcPr>
            <w:tcW w:w="933" w:type="pct"/>
            <w:tcBorders>
              <w:top w:val="nil"/>
              <w:left w:val="nil"/>
              <w:bottom w:val="nil"/>
              <w:right w:val="nil"/>
            </w:tcBorders>
            <w:shd w:val="clear" w:color="auto" w:fill="auto"/>
            <w:noWrap/>
            <w:vAlign w:val="center"/>
            <w:hideMark/>
          </w:tcPr>
          <w:p w14:paraId="6D41227A"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Other crops</w:t>
            </w:r>
          </w:p>
        </w:tc>
        <w:tc>
          <w:tcPr>
            <w:tcW w:w="595" w:type="pct"/>
            <w:tcBorders>
              <w:top w:val="nil"/>
              <w:left w:val="nil"/>
              <w:bottom w:val="nil"/>
              <w:right w:val="nil"/>
            </w:tcBorders>
            <w:shd w:val="clear" w:color="auto" w:fill="auto"/>
            <w:noWrap/>
            <w:vAlign w:val="center"/>
            <w:hideMark/>
          </w:tcPr>
          <w:p w14:paraId="76D49A4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-1946.17</w:t>
            </w:r>
          </w:p>
        </w:tc>
        <w:tc>
          <w:tcPr>
            <w:tcW w:w="592" w:type="pct"/>
            <w:tcBorders>
              <w:top w:val="nil"/>
              <w:left w:val="nil"/>
              <w:bottom w:val="nil"/>
              <w:right w:val="nil"/>
            </w:tcBorders>
            <w:shd w:val="clear" w:color="auto" w:fill="auto"/>
            <w:noWrap/>
            <w:vAlign w:val="center"/>
            <w:hideMark/>
          </w:tcPr>
          <w:p w14:paraId="552F8EA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-1.26</w:t>
            </w:r>
          </w:p>
        </w:tc>
        <w:tc>
          <w:tcPr>
            <w:tcW w:w="588" w:type="pct"/>
            <w:tcBorders>
              <w:top w:val="nil"/>
              <w:left w:val="nil"/>
              <w:bottom w:val="nil"/>
              <w:right w:val="nil"/>
            </w:tcBorders>
            <w:shd w:val="clear" w:color="auto" w:fill="auto"/>
            <w:noWrap/>
            <w:vAlign w:val="center"/>
            <w:hideMark/>
          </w:tcPr>
          <w:p w14:paraId="1C80760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21.62</w:t>
            </w:r>
          </w:p>
        </w:tc>
        <w:tc>
          <w:tcPr>
            <w:tcW w:w="654" w:type="pct"/>
            <w:tcBorders>
              <w:top w:val="nil"/>
              <w:left w:val="nil"/>
              <w:bottom w:val="nil"/>
              <w:right w:val="nil"/>
            </w:tcBorders>
            <w:shd w:val="clear" w:color="auto" w:fill="auto"/>
            <w:noWrap/>
            <w:vAlign w:val="center"/>
            <w:hideMark/>
          </w:tcPr>
          <w:p w14:paraId="073DEBAE"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6D87179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-0.05</w:t>
            </w:r>
          </w:p>
        </w:tc>
        <w:tc>
          <w:tcPr>
            <w:tcW w:w="561" w:type="pct"/>
            <w:tcBorders>
              <w:top w:val="nil"/>
              <w:left w:val="nil"/>
              <w:bottom w:val="nil"/>
              <w:right w:val="nil"/>
            </w:tcBorders>
            <w:shd w:val="clear" w:color="auto" w:fill="auto"/>
            <w:noWrap/>
            <w:vAlign w:val="center"/>
            <w:hideMark/>
          </w:tcPr>
          <w:p w14:paraId="72A13AE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-36.66</w:t>
            </w:r>
          </w:p>
        </w:tc>
        <w:tc>
          <w:tcPr>
            <w:tcW w:w="343" w:type="pct"/>
            <w:tcBorders>
              <w:top w:val="nil"/>
              <w:left w:val="nil"/>
              <w:bottom w:val="nil"/>
              <w:right w:val="nil"/>
            </w:tcBorders>
            <w:shd w:val="clear" w:color="auto" w:fill="auto"/>
            <w:noWrap/>
            <w:vAlign w:val="center"/>
            <w:hideMark/>
          </w:tcPr>
          <w:p w14:paraId="2E5E50C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0.50</w:t>
            </w:r>
          </w:p>
        </w:tc>
      </w:tr>
      <w:tr w:rsidR="00AA13C5" w:rsidRPr="00AA13C5" w14:paraId="0DBF4833" w14:textId="77777777" w:rsidTr="00EE68F9">
        <w:trPr>
          <w:trHeight w:val="300"/>
        </w:trPr>
        <w:tc>
          <w:tcPr>
            <w:tcW w:w="933" w:type="pct"/>
            <w:tcBorders>
              <w:top w:val="nil"/>
              <w:left w:val="nil"/>
              <w:bottom w:val="nil"/>
              <w:right w:val="nil"/>
            </w:tcBorders>
            <w:shd w:val="clear" w:color="auto" w:fill="auto"/>
            <w:noWrap/>
            <w:vAlign w:val="center"/>
            <w:hideMark/>
          </w:tcPr>
          <w:p w14:paraId="78456DAA"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1A8D00F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(0.20)</w:t>
            </w:r>
          </w:p>
        </w:tc>
        <w:tc>
          <w:tcPr>
            <w:tcW w:w="592" w:type="pct"/>
            <w:tcBorders>
              <w:top w:val="nil"/>
              <w:left w:val="nil"/>
              <w:bottom w:val="nil"/>
              <w:right w:val="nil"/>
            </w:tcBorders>
            <w:shd w:val="clear" w:color="auto" w:fill="auto"/>
            <w:noWrap/>
            <w:vAlign w:val="center"/>
            <w:hideMark/>
          </w:tcPr>
          <w:p w14:paraId="2E6B582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(0.13)</w:t>
            </w:r>
          </w:p>
        </w:tc>
        <w:tc>
          <w:tcPr>
            <w:tcW w:w="588" w:type="pct"/>
            <w:tcBorders>
              <w:top w:val="nil"/>
              <w:left w:val="nil"/>
              <w:bottom w:val="nil"/>
              <w:right w:val="nil"/>
            </w:tcBorders>
            <w:shd w:val="clear" w:color="auto" w:fill="auto"/>
            <w:noWrap/>
            <w:vAlign w:val="center"/>
            <w:hideMark/>
          </w:tcPr>
          <w:p w14:paraId="6721A82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(0.13)</w:t>
            </w:r>
          </w:p>
        </w:tc>
        <w:tc>
          <w:tcPr>
            <w:tcW w:w="654" w:type="pct"/>
            <w:tcBorders>
              <w:top w:val="nil"/>
              <w:left w:val="nil"/>
              <w:bottom w:val="nil"/>
              <w:right w:val="nil"/>
            </w:tcBorders>
            <w:shd w:val="clear" w:color="auto" w:fill="auto"/>
            <w:noWrap/>
            <w:vAlign w:val="center"/>
            <w:hideMark/>
          </w:tcPr>
          <w:p w14:paraId="113C03A2"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46642B2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(0.96)</w:t>
            </w:r>
          </w:p>
        </w:tc>
        <w:tc>
          <w:tcPr>
            <w:tcW w:w="561" w:type="pct"/>
            <w:tcBorders>
              <w:top w:val="nil"/>
              <w:left w:val="nil"/>
              <w:bottom w:val="nil"/>
              <w:right w:val="nil"/>
            </w:tcBorders>
            <w:shd w:val="clear" w:color="auto" w:fill="auto"/>
            <w:noWrap/>
            <w:vAlign w:val="center"/>
            <w:hideMark/>
          </w:tcPr>
          <w:p w14:paraId="0BD9489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(0.44)</w:t>
            </w:r>
          </w:p>
        </w:tc>
        <w:tc>
          <w:tcPr>
            <w:tcW w:w="343" w:type="pct"/>
            <w:tcBorders>
              <w:top w:val="nil"/>
              <w:left w:val="nil"/>
              <w:bottom w:val="nil"/>
              <w:right w:val="nil"/>
            </w:tcBorders>
            <w:shd w:val="clear" w:color="auto" w:fill="auto"/>
            <w:noWrap/>
            <w:vAlign w:val="center"/>
            <w:hideMark/>
          </w:tcPr>
          <w:p w14:paraId="29C1E01B"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AA13C5" w:rsidRPr="00AA13C5" w14:paraId="64C5CF0C" w14:textId="77777777" w:rsidTr="00EE68F9">
        <w:trPr>
          <w:trHeight w:val="300"/>
        </w:trPr>
        <w:tc>
          <w:tcPr>
            <w:tcW w:w="933" w:type="pct"/>
            <w:tcBorders>
              <w:top w:val="nil"/>
              <w:left w:val="nil"/>
              <w:bottom w:val="nil"/>
              <w:right w:val="nil"/>
            </w:tcBorders>
            <w:shd w:val="clear" w:color="auto" w:fill="auto"/>
            <w:noWrap/>
            <w:vAlign w:val="center"/>
            <w:hideMark/>
          </w:tcPr>
          <w:p w14:paraId="7E417E93"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Pastures - Dairy</w:t>
            </w:r>
          </w:p>
        </w:tc>
        <w:tc>
          <w:tcPr>
            <w:tcW w:w="595" w:type="pct"/>
            <w:tcBorders>
              <w:top w:val="nil"/>
              <w:left w:val="nil"/>
              <w:bottom w:val="nil"/>
              <w:right w:val="nil"/>
            </w:tcBorders>
            <w:shd w:val="clear" w:color="auto" w:fill="auto"/>
            <w:noWrap/>
            <w:vAlign w:val="center"/>
            <w:hideMark/>
          </w:tcPr>
          <w:p w14:paraId="31A1DA7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-349.26</w:t>
            </w:r>
          </w:p>
        </w:tc>
        <w:tc>
          <w:tcPr>
            <w:tcW w:w="592" w:type="pct"/>
            <w:tcBorders>
              <w:top w:val="nil"/>
              <w:left w:val="nil"/>
              <w:bottom w:val="nil"/>
              <w:right w:val="nil"/>
            </w:tcBorders>
            <w:shd w:val="clear" w:color="auto" w:fill="auto"/>
            <w:noWrap/>
            <w:vAlign w:val="center"/>
            <w:hideMark/>
          </w:tcPr>
          <w:p w14:paraId="2947EED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-6.65</w:t>
            </w:r>
          </w:p>
        </w:tc>
        <w:tc>
          <w:tcPr>
            <w:tcW w:w="588" w:type="pct"/>
            <w:tcBorders>
              <w:top w:val="nil"/>
              <w:left w:val="nil"/>
              <w:bottom w:val="nil"/>
              <w:right w:val="nil"/>
            </w:tcBorders>
            <w:shd w:val="clear" w:color="auto" w:fill="auto"/>
            <w:noWrap/>
            <w:vAlign w:val="center"/>
            <w:hideMark/>
          </w:tcPr>
          <w:p w14:paraId="47A16FA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79.97</w:t>
            </w:r>
          </w:p>
        </w:tc>
        <w:tc>
          <w:tcPr>
            <w:tcW w:w="654" w:type="pct"/>
            <w:tcBorders>
              <w:top w:val="nil"/>
              <w:left w:val="nil"/>
              <w:bottom w:val="nil"/>
              <w:right w:val="nil"/>
            </w:tcBorders>
            <w:shd w:val="clear" w:color="auto" w:fill="auto"/>
            <w:noWrap/>
            <w:vAlign w:val="center"/>
            <w:hideMark/>
          </w:tcPr>
          <w:p w14:paraId="1744A466"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3F638AE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-3.71</w:t>
            </w:r>
          </w:p>
        </w:tc>
        <w:tc>
          <w:tcPr>
            <w:tcW w:w="561" w:type="pct"/>
            <w:tcBorders>
              <w:top w:val="nil"/>
              <w:left w:val="nil"/>
              <w:bottom w:val="nil"/>
              <w:right w:val="nil"/>
            </w:tcBorders>
            <w:shd w:val="clear" w:color="auto" w:fill="auto"/>
            <w:noWrap/>
            <w:vAlign w:val="center"/>
            <w:hideMark/>
          </w:tcPr>
          <w:p w14:paraId="68D4ECC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-879.83</w:t>
            </w:r>
          </w:p>
        </w:tc>
        <w:tc>
          <w:tcPr>
            <w:tcW w:w="343" w:type="pct"/>
            <w:tcBorders>
              <w:top w:val="nil"/>
              <w:left w:val="nil"/>
              <w:bottom w:val="nil"/>
              <w:right w:val="nil"/>
            </w:tcBorders>
            <w:shd w:val="clear" w:color="auto" w:fill="auto"/>
            <w:noWrap/>
            <w:vAlign w:val="center"/>
            <w:hideMark/>
          </w:tcPr>
          <w:p w14:paraId="4B8C69D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0.50</w:t>
            </w:r>
          </w:p>
        </w:tc>
      </w:tr>
      <w:tr w:rsidR="00AA13C5" w:rsidRPr="00AA13C5" w14:paraId="47DF45FF" w14:textId="77777777" w:rsidTr="00EE68F9">
        <w:trPr>
          <w:trHeight w:val="300"/>
        </w:trPr>
        <w:tc>
          <w:tcPr>
            <w:tcW w:w="933" w:type="pct"/>
            <w:tcBorders>
              <w:top w:val="nil"/>
              <w:left w:val="nil"/>
              <w:bottom w:val="nil"/>
              <w:right w:val="nil"/>
            </w:tcBorders>
            <w:shd w:val="clear" w:color="auto" w:fill="auto"/>
            <w:noWrap/>
            <w:vAlign w:val="center"/>
            <w:hideMark/>
          </w:tcPr>
          <w:p w14:paraId="13A4ED0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95" w:type="pct"/>
            <w:tcBorders>
              <w:top w:val="nil"/>
              <w:left w:val="nil"/>
              <w:bottom w:val="nil"/>
              <w:right w:val="nil"/>
            </w:tcBorders>
            <w:shd w:val="clear" w:color="auto" w:fill="auto"/>
            <w:noWrap/>
            <w:vAlign w:val="center"/>
            <w:hideMark/>
          </w:tcPr>
          <w:p w14:paraId="392708E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(0.95)</w:t>
            </w:r>
          </w:p>
        </w:tc>
        <w:tc>
          <w:tcPr>
            <w:tcW w:w="592" w:type="pct"/>
            <w:tcBorders>
              <w:top w:val="nil"/>
              <w:left w:val="nil"/>
              <w:bottom w:val="nil"/>
              <w:right w:val="nil"/>
            </w:tcBorders>
            <w:shd w:val="clear" w:color="auto" w:fill="auto"/>
            <w:noWrap/>
            <w:vAlign w:val="center"/>
            <w:hideMark/>
          </w:tcPr>
          <w:p w14:paraId="298E59F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(0.28)</w:t>
            </w:r>
          </w:p>
        </w:tc>
        <w:tc>
          <w:tcPr>
            <w:tcW w:w="588" w:type="pct"/>
            <w:tcBorders>
              <w:top w:val="nil"/>
              <w:left w:val="nil"/>
              <w:bottom w:val="nil"/>
              <w:right w:val="nil"/>
            </w:tcBorders>
            <w:shd w:val="clear" w:color="auto" w:fill="auto"/>
            <w:noWrap/>
            <w:vAlign w:val="center"/>
            <w:hideMark/>
          </w:tcPr>
          <w:p w14:paraId="551D575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(0.16)</w:t>
            </w:r>
          </w:p>
        </w:tc>
        <w:tc>
          <w:tcPr>
            <w:tcW w:w="654" w:type="pct"/>
            <w:tcBorders>
              <w:top w:val="nil"/>
              <w:left w:val="nil"/>
              <w:bottom w:val="nil"/>
              <w:right w:val="nil"/>
            </w:tcBorders>
            <w:shd w:val="clear" w:color="auto" w:fill="auto"/>
            <w:noWrap/>
            <w:vAlign w:val="center"/>
            <w:hideMark/>
          </w:tcPr>
          <w:p w14:paraId="61AC171E"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21FFBF6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(0.67)</w:t>
            </w:r>
          </w:p>
        </w:tc>
        <w:tc>
          <w:tcPr>
            <w:tcW w:w="561" w:type="pct"/>
            <w:tcBorders>
              <w:top w:val="nil"/>
              <w:left w:val="nil"/>
              <w:bottom w:val="nil"/>
              <w:right w:val="nil"/>
            </w:tcBorders>
            <w:shd w:val="clear" w:color="auto" w:fill="auto"/>
            <w:noWrap/>
            <w:vAlign w:val="center"/>
            <w:hideMark/>
          </w:tcPr>
          <w:p w14:paraId="6B5F972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(0.06)</w:t>
            </w:r>
          </w:p>
        </w:tc>
        <w:tc>
          <w:tcPr>
            <w:tcW w:w="343" w:type="pct"/>
            <w:tcBorders>
              <w:top w:val="nil"/>
              <w:left w:val="nil"/>
              <w:bottom w:val="nil"/>
              <w:right w:val="nil"/>
            </w:tcBorders>
            <w:shd w:val="clear" w:color="auto" w:fill="auto"/>
            <w:noWrap/>
            <w:vAlign w:val="center"/>
            <w:hideMark/>
          </w:tcPr>
          <w:p w14:paraId="4D36BC36"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AA13C5" w:rsidRPr="00AA13C5" w14:paraId="1344DD01" w14:textId="77777777" w:rsidTr="00EE68F9">
        <w:trPr>
          <w:trHeight w:val="300"/>
        </w:trPr>
        <w:tc>
          <w:tcPr>
            <w:tcW w:w="933" w:type="pct"/>
            <w:tcBorders>
              <w:top w:val="nil"/>
              <w:left w:val="nil"/>
              <w:bottom w:val="nil"/>
              <w:right w:val="nil"/>
            </w:tcBorders>
            <w:shd w:val="clear" w:color="auto" w:fill="auto"/>
            <w:noWrap/>
            <w:vAlign w:val="center"/>
            <w:hideMark/>
          </w:tcPr>
          <w:p w14:paraId="5B8D346E"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Pastures - Hay</w:t>
            </w:r>
          </w:p>
        </w:tc>
        <w:tc>
          <w:tcPr>
            <w:tcW w:w="595" w:type="pct"/>
            <w:tcBorders>
              <w:top w:val="nil"/>
              <w:left w:val="nil"/>
              <w:bottom w:val="nil"/>
              <w:right w:val="nil"/>
            </w:tcBorders>
            <w:shd w:val="clear" w:color="auto" w:fill="auto"/>
            <w:noWrap/>
            <w:vAlign w:val="center"/>
            <w:hideMark/>
          </w:tcPr>
          <w:p w14:paraId="5321564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489.24</w:t>
            </w:r>
          </w:p>
        </w:tc>
        <w:tc>
          <w:tcPr>
            <w:tcW w:w="592" w:type="pct"/>
            <w:tcBorders>
              <w:top w:val="nil"/>
              <w:left w:val="nil"/>
              <w:bottom w:val="nil"/>
              <w:right w:val="nil"/>
            </w:tcBorders>
            <w:shd w:val="clear" w:color="auto" w:fill="auto"/>
            <w:noWrap/>
            <w:vAlign w:val="center"/>
            <w:hideMark/>
          </w:tcPr>
          <w:p w14:paraId="40F78E0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-5.83*</w:t>
            </w:r>
          </w:p>
        </w:tc>
        <w:tc>
          <w:tcPr>
            <w:tcW w:w="588" w:type="pct"/>
            <w:tcBorders>
              <w:top w:val="nil"/>
              <w:left w:val="nil"/>
              <w:bottom w:val="nil"/>
              <w:right w:val="nil"/>
            </w:tcBorders>
            <w:shd w:val="clear" w:color="auto" w:fill="auto"/>
            <w:noWrap/>
            <w:vAlign w:val="center"/>
            <w:hideMark/>
          </w:tcPr>
          <w:p w14:paraId="740F764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21.20</w:t>
            </w:r>
          </w:p>
        </w:tc>
        <w:tc>
          <w:tcPr>
            <w:tcW w:w="654" w:type="pct"/>
            <w:tcBorders>
              <w:top w:val="nil"/>
              <w:left w:val="nil"/>
              <w:bottom w:val="nil"/>
              <w:right w:val="nil"/>
            </w:tcBorders>
            <w:shd w:val="clear" w:color="auto" w:fill="auto"/>
            <w:noWrap/>
            <w:vAlign w:val="center"/>
            <w:hideMark/>
          </w:tcPr>
          <w:p w14:paraId="103991A9"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734" w:type="pct"/>
            <w:tcBorders>
              <w:top w:val="nil"/>
              <w:left w:val="nil"/>
              <w:bottom w:val="nil"/>
              <w:right w:val="nil"/>
            </w:tcBorders>
            <w:shd w:val="clear" w:color="auto" w:fill="auto"/>
            <w:noWrap/>
            <w:vAlign w:val="center"/>
            <w:hideMark/>
          </w:tcPr>
          <w:p w14:paraId="0B95AA4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-3.37*</w:t>
            </w:r>
          </w:p>
        </w:tc>
        <w:tc>
          <w:tcPr>
            <w:tcW w:w="561" w:type="pct"/>
            <w:tcBorders>
              <w:top w:val="nil"/>
              <w:left w:val="nil"/>
              <w:bottom w:val="nil"/>
              <w:right w:val="nil"/>
            </w:tcBorders>
            <w:shd w:val="clear" w:color="auto" w:fill="auto"/>
            <w:noWrap/>
            <w:vAlign w:val="center"/>
            <w:hideMark/>
          </w:tcPr>
          <w:p w14:paraId="07B2543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-140.24*</w:t>
            </w:r>
          </w:p>
        </w:tc>
        <w:tc>
          <w:tcPr>
            <w:tcW w:w="343" w:type="pct"/>
            <w:tcBorders>
              <w:top w:val="nil"/>
              <w:left w:val="nil"/>
              <w:bottom w:val="nil"/>
              <w:right w:val="nil"/>
            </w:tcBorders>
            <w:shd w:val="clear" w:color="auto" w:fill="auto"/>
            <w:noWrap/>
            <w:vAlign w:val="center"/>
            <w:hideMark/>
          </w:tcPr>
          <w:p w14:paraId="5F5677F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0.79</w:t>
            </w:r>
          </w:p>
        </w:tc>
      </w:tr>
      <w:tr w:rsidR="00AA13C5" w:rsidRPr="00AA13C5" w14:paraId="3FA40604" w14:textId="77777777" w:rsidTr="00EE68F9">
        <w:trPr>
          <w:trHeight w:val="300"/>
        </w:trPr>
        <w:tc>
          <w:tcPr>
            <w:tcW w:w="933" w:type="pct"/>
            <w:tcBorders>
              <w:top w:val="nil"/>
              <w:left w:val="nil"/>
              <w:bottom w:val="single" w:sz="4" w:space="0" w:color="auto"/>
              <w:right w:val="nil"/>
            </w:tcBorders>
            <w:shd w:val="clear" w:color="auto" w:fill="auto"/>
            <w:noWrap/>
            <w:vAlign w:val="center"/>
            <w:hideMark/>
          </w:tcPr>
          <w:p w14:paraId="53DF3186"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 </w:t>
            </w:r>
          </w:p>
        </w:tc>
        <w:tc>
          <w:tcPr>
            <w:tcW w:w="595" w:type="pct"/>
            <w:tcBorders>
              <w:top w:val="nil"/>
              <w:left w:val="nil"/>
              <w:bottom w:val="single" w:sz="4" w:space="0" w:color="auto"/>
              <w:right w:val="nil"/>
            </w:tcBorders>
            <w:shd w:val="clear" w:color="auto" w:fill="auto"/>
            <w:noWrap/>
            <w:vAlign w:val="center"/>
            <w:hideMark/>
          </w:tcPr>
          <w:p w14:paraId="347BCA6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(0.75)</w:t>
            </w:r>
          </w:p>
        </w:tc>
        <w:tc>
          <w:tcPr>
            <w:tcW w:w="592" w:type="pct"/>
            <w:tcBorders>
              <w:top w:val="nil"/>
              <w:left w:val="nil"/>
              <w:bottom w:val="single" w:sz="4" w:space="0" w:color="auto"/>
              <w:right w:val="nil"/>
            </w:tcBorders>
            <w:shd w:val="clear" w:color="auto" w:fill="auto"/>
            <w:noWrap/>
            <w:vAlign w:val="center"/>
            <w:hideMark/>
          </w:tcPr>
          <w:p w14:paraId="0C11B54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(0.05)</w:t>
            </w:r>
          </w:p>
        </w:tc>
        <w:tc>
          <w:tcPr>
            <w:tcW w:w="588" w:type="pct"/>
            <w:tcBorders>
              <w:top w:val="nil"/>
              <w:left w:val="nil"/>
              <w:bottom w:val="single" w:sz="4" w:space="0" w:color="auto"/>
              <w:right w:val="nil"/>
            </w:tcBorders>
            <w:shd w:val="clear" w:color="auto" w:fill="auto"/>
            <w:noWrap/>
            <w:vAlign w:val="center"/>
            <w:hideMark/>
          </w:tcPr>
          <w:p w14:paraId="1E63498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(0.11)</w:t>
            </w:r>
          </w:p>
        </w:tc>
        <w:tc>
          <w:tcPr>
            <w:tcW w:w="654" w:type="pct"/>
            <w:tcBorders>
              <w:top w:val="nil"/>
              <w:left w:val="nil"/>
              <w:bottom w:val="single" w:sz="4" w:space="0" w:color="auto"/>
              <w:right w:val="nil"/>
            </w:tcBorders>
            <w:shd w:val="clear" w:color="auto" w:fill="auto"/>
            <w:noWrap/>
            <w:vAlign w:val="center"/>
            <w:hideMark/>
          </w:tcPr>
          <w:p w14:paraId="6209258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c>
          <w:tcPr>
            <w:tcW w:w="734" w:type="pct"/>
            <w:tcBorders>
              <w:top w:val="nil"/>
              <w:left w:val="nil"/>
              <w:bottom w:val="single" w:sz="4" w:space="0" w:color="auto"/>
              <w:right w:val="nil"/>
            </w:tcBorders>
            <w:shd w:val="clear" w:color="auto" w:fill="auto"/>
            <w:noWrap/>
            <w:vAlign w:val="center"/>
            <w:hideMark/>
          </w:tcPr>
          <w:p w14:paraId="13F253B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561" w:type="pct"/>
            <w:tcBorders>
              <w:top w:val="nil"/>
              <w:left w:val="nil"/>
              <w:bottom w:val="single" w:sz="4" w:space="0" w:color="auto"/>
              <w:right w:val="nil"/>
            </w:tcBorders>
            <w:shd w:val="clear" w:color="auto" w:fill="auto"/>
            <w:noWrap/>
            <w:vAlign w:val="center"/>
            <w:hideMark/>
          </w:tcPr>
          <w:p w14:paraId="52823D8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43" w:type="pct"/>
            <w:tcBorders>
              <w:top w:val="nil"/>
              <w:left w:val="nil"/>
              <w:bottom w:val="single" w:sz="4" w:space="0" w:color="auto"/>
              <w:right w:val="nil"/>
            </w:tcBorders>
            <w:shd w:val="clear" w:color="auto" w:fill="auto"/>
            <w:noWrap/>
            <w:vAlign w:val="center"/>
            <w:hideMark/>
          </w:tcPr>
          <w:p w14:paraId="697EC6F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r>
    </w:tbl>
    <w:p w14:paraId="04686315" w14:textId="3F3501BA" w:rsidR="006574BC" w:rsidRDefault="00EE68F9" w:rsidP="00777422">
      <w:pPr>
        <w:pStyle w:val="Notesourcetext"/>
      </w:pPr>
      <w:r>
        <w:t>Note: * denotes significance at the 95% level</w:t>
      </w:r>
    </w:p>
    <w:p w14:paraId="33ADC684" w14:textId="24AC63B9" w:rsidR="006574BC" w:rsidRPr="006574BC" w:rsidRDefault="00AA7649" w:rsidP="006574BC">
      <w:r>
        <w:fldChar w:fldCharType="begin"/>
      </w:r>
      <w:r>
        <w:instrText xml:space="preserve"> REF _Ref345685034 \h </w:instrText>
      </w:r>
      <w:r>
        <w:fldChar w:fldCharType="separate"/>
      </w:r>
      <w:r w:rsidR="00666E46" w:rsidRPr="006F5651">
        <w:t xml:space="preserve">Figure </w:t>
      </w:r>
      <w:r w:rsidR="00666E46">
        <w:rPr>
          <w:noProof/>
        </w:rPr>
        <w:t>3</w:t>
      </w:r>
      <w:r>
        <w:fldChar w:fldCharType="end"/>
      </w:r>
      <w:r>
        <w:t xml:space="preserve"> shows total sMDB </w:t>
      </w:r>
      <w:r w:rsidR="00A02654">
        <w:t xml:space="preserve">irrigated </w:t>
      </w:r>
      <w:r>
        <w:t>land use by activity against water price, based on the above estimated relationships (given mean rainfall and output prices). As expected</w:t>
      </w:r>
      <w:r w:rsidR="00A02654">
        <w:t>,</w:t>
      </w:r>
      <w:r>
        <w:t xml:space="preserve"> </w:t>
      </w:r>
      <w:r w:rsidR="00A02654">
        <w:t>the total area of irrigati</w:t>
      </w:r>
      <w:r w:rsidR="00666E46">
        <w:t>on contracts as prices increase. F</w:t>
      </w:r>
      <w:r w:rsidR="00A02654">
        <w:t>urther</w:t>
      </w:r>
      <w:r w:rsidR="00666E46">
        <w:t>,</w:t>
      </w:r>
      <w:r w:rsidR="00A02654">
        <w:t xml:space="preserve"> higher value activities such as </w:t>
      </w:r>
      <w:r>
        <w:t>vegetable</w:t>
      </w:r>
      <w:r w:rsidR="00A02654">
        <w:t xml:space="preserve">s </w:t>
      </w:r>
      <w:r>
        <w:t xml:space="preserve">are </w:t>
      </w:r>
      <w:r w:rsidR="00A02654">
        <w:t xml:space="preserve">less </w:t>
      </w:r>
      <w:r>
        <w:t xml:space="preserve">sensitive </w:t>
      </w:r>
      <w:r w:rsidR="007E7595">
        <w:t xml:space="preserve">to </w:t>
      </w:r>
      <w:r w:rsidR="00B63CC6">
        <w:t>changes in price</w:t>
      </w:r>
      <w:r w:rsidR="007E7595">
        <w:t xml:space="preserve"> </w:t>
      </w:r>
      <w:r>
        <w:t xml:space="preserve">in comparison </w:t>
      </w:r>
      <w:r w:rsidR="00A02654">
        <w:t>with lower value activities like</w:t>
      </w:r>
      <w:r>
        <w:t xml:space="preserve"> pasture.</w:t>
      </w:r>
    </w:p>
    <w:p w14:paraId="11C64DC1" w14:textId="77777777" w:rsidR="003105BA" w:rsidRDefault="00CC4D8D" w:rsidP="008E3B7E">
      <w:pPr>
        <w:pStyle w:val="Caption"/>
      </w:pPr>
      <w:bookmarkStart w:id="66" w:name="_Ref345685034"/>
      <w:bookmarkStart w:id="67" w:name="_Toc358282854"/>
      <w:bookmarkStart w:id="68" w:name="_Toc374975649"/>
      <w:bookmarkStart w:id="69" w:name="_Toc505345910"/>
      <w:r w:rsidRPr="006F5651">
        <w:lastRenderedPageBreak/>
        <w:t xml:space="preserve">Figure </w:t>
      </w:r>
      <w:r w:rsidR="00915ABD" w:rsidRPr="006F5651">
        <w:fldChar w:fldCharType="begin"/>
      </w:r>
      <w:r w:rsidRPr="006F5651">
        <w:instrText xml:space="preserve"> SEQ Figure \* ARABIC </w:instrText>
      </w:r>
      <w:r w:rsidR="00915ABD" w:rsidRPr="006F5651">
        <w:fldChar w:fldCharType="separate"/>
      </w:r>
      <w:r w:rsidR="00F709AB">
        <w:rPr>
          <w:noProof/>
        </w:rPr>
        <w:t>3</w:t>
      </w:r>
      <w:r w:rsidR="00915ABD" w:rsidRPr="006F5651">
        <w:fldChar w:fldCharType="end"/>
      </w:r>
      <w:bookmarkEnd w:id="66"/>
      <w:r w:rsidRPr="006F5651">
        <w:t xml:space="preserve"> </w:t>
      </w:r>
      <w:bookmarkEnd w:id="67"/>
      <w:bookmarkEnd w:id="68"/>
      <w:r w:rsidR="00A02654">
        <w:t>Annual</w:t>
      </w:r>
      <w:r w:rsidR="00A02654" w:rsidRPr="006F5651">
        <w:t xml:space="preserve"> </w:t>
      </w:r>
      <w:r w:rsidRPr="006F5651">
        <w:t>land use as a function of water allocation price, by irrigation activity</w:t>
      </w:r>
      <w:bookmarkEnd w:id="69"/>
    </w:p>
    <w:p w14:paraId="2CA57E09" w14:textId="2112E0DF" w:rsidR="007559C7" w:rsidRDefault="003105BA" w:rsidP="008E3B7E">
      <w:pPr>
        <w:pStyle w:val="Caption"/>
      </w:pPr>
      <w:r>
        <w:rPr>
          <w:noProof/>
          <w:lang w:eastAsia="en-AU"/>
        </w:rPr>
        <w:drawing>
          <wp:inline distT="0" distB="0" distL="0" distR="0" wp14:anchorId="34FC353C" wp14:editId="4A7CBFBC">
            <wp:extent cx="5745600" cy="300162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600" cy="3001620"/>
                    </a:xfrm>
                    <a:prstGeom prst="rect">
                      <a:avLst/>
                    </a:prstGeom>
                    <a:noFill/>
                  </pic:spPr>
                </pic:pic>
              </a:graphicData>
            </a:graphic>
          </wp:inline>
        </w:drawing>
      </w:r>
      <w:r w:rsidR="006F5651">
        <w:t xml:space="preserve"> </w:t>
      </w:r>
    </w:p>
    <w:p w14:paraId="47404A2C" w14:textId="77777777" w:rsidR="007559C7" w:rsidRDefault="006E3CE9" w:rsidP="00777422">
      <w:pPr>
        <w:pStyle w:val="Notesourcetext"/>
      </w:pPr>
      <w:r w:rsidRPr="007559C7">
        <w:t>Note: Cotton, Fruits and Grapevines are exogenous and not dependent on the water allocation price.</w:t>
      </w:r>
    </w:p>
    <w:p w14:paraId="086A6283" w14:textId="77777777" w:rsidR="002D5DBA" w:rsidRDefault="002D5DBA" w:rsidP="00691770">
      <w:pPr>
        <w:pStyle w:val="Heading2"/>
      </w:pPr>
      <w:bookmarkStart w:id="70" w:name="_Toc505345864"/>
      <w:r>
        <w:t>Water application rate</w:t>
      </w:r>
      <w:bookmarkEnd w:id="70"/>
    </w:p>
    <w:p w14:paraId="7451FDF9" w14:textId="77777777" w:rsidR="002D5DBA" w:rsidRDefault="002D5DBA" w:rsidP="002D5DBA">
      <w:r>
        <w:t xml:space="preserve">To estimate the parameters in equation 3 we fit the following </w:t>
      </w:r>
      <w:r w:rsidR="00AA7649">
        <w:t xml:space="preserve">regression </w:t>
      </w:r>
      <w:r>
        <w:t xml:space="preserve">model </w:t>
      </w:r>
      <w:r w:rsidR="00AA7649">
        <w:t>by</w:t>
      </w:r>
      <w:r>
        <w:t xml:space="preserve"> irrigation activity </w:t>
      </w:r>
      <m:oMath>
        <m:r>
          <w:rPr>
            <w:rFonts w:ascii="Cambria Math" w:hAnsi="Cambria Math"/>
          </w:rPr>
          <m:t>j</m:t>
        </m:r>
        <m:r>
          <m:rPr>
            <m:sty m:val="p"/>
          </m:rPr>
          <w:rPr>
            <w:rFonts w:ascii="Cambria Math" w:hAnsi="Cambria Math"/>
          </w:rPr>
          <m:t xml:space="preserve"> pooling the data</m:t>
        </m:r>
      </m:oMath>
      <w:r w:rsidR="00AA7649">
        <w:t xml:space="preserve"> for each region</w:t>
      </w:r>
      <w:r>
        <w:t>:</w:t>
      </w:r>
    </w:p>
    <w:p w14:paraId="0889371E" w14:textId="77777777" w:rsidR="002D5DBA" w:rsidRDefault="00220589" w:rsidP="002D5DBA">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ijt</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ijt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0j</m:t>
              </m:r>
            </m:sub>
            <m:sup>
              <m:r>
                <w:rPr>
                  <w:rFonts w:ascii="Cambria Math" w:hAnsi="Cambria Math"/>
                </w:rPr>
                <m:t>W</m:t>
              </m:r>
            </m:sup>
          </m:sSubSup>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1j</m:t>
              </m:r>
            </m:sub>
            <m:sup>
              <m:r>
                <w:rPr>
                  <w:rFonts w:ascii="Cambria Math" w:hAnsi="Cambria Math"/>
                </w:rPr>
                <m:t>W</m:t>
              </m:r>
            </m:sup>
          </m:sSub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2j</m:t>
              </m:r>
            </m:sub>
            <m:sup>
              <m:r>
                <w:rPr>
                  <w:rFonts w:ascii="Cambria Math" w:hAnsi="Cambria Math"/>
                </w:rPr>
                <m:t>W</m:t>
              </m:r>
            </m:sup>
          </m:sSubSup>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3j</m:t>
              </m:r>
            </m:sub>
            <m:sup>
              <m:r>
                <w:rPr>
                  <w:rFonts w:ascii="Cambria Math" w:hAnsi="Cambria Math"/>
                </w:rPr>
                <m:t>W</m:t>
              </m:r>
            </m:sup>
          </m:sSubSup>
          <m:sSub>
            <m:sSubPr>
              <m:ctrlPr>
                <w:rPr>
                  <w:rFonts w:ascii="Cambria Math" w:hAnsi="Cambria Math"/>
                </w:rPr>
              </m:ctrlPr>
            </m:sSubPr>
            <m:e>
              <m:r>
                <w:rPr>
                  <w:rFonts w:ascii="Cambria Math" w:hAnsi="Cambria Math"/>
                </w:rPr>
                <m:t>Y</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4j</m:t>
              </m:r>
            </m:sub>
            <m:sup>
              <m:r>
                <w:rPr>
                  <w:rFonts w:ascii="Cambria Math" w:hAnsi="Cambria Math"/>
                </w:rPr>
                <m:t>W</m:t>
              </m:r>
            </m:sup>
          </m:sSubSup>
          <m:r>
            <w:rPr>
              <w:rFonts w:ascii="Cambria Math" w:hAnsi="Cambria Math"/>
            </w:rPr>
            <m:t>.t+</m:t>
          </m:r>
          <m:sSubSup>
            <m:sSubSupPr>
              <m:ctrlPr>
                <w:rPr>
                  <w:rFonts w:ascii="Cambria Math" w:hAnsi="Cambria Math"/>
                </w:rPr>
              </m:ctrlPr>
            </m:sSubSupPr>
            <m:e>
              <m:r>
                <m:rPr>
                  <m:sty m:val="b"/>
                </m:rPr>
                <w:rPr>
                  <w:rFonts w:ascii="Cambria Math" w:hAnsi="Cambria Math"/>
                </w:rPr>
                <m:t>β</m:t>
              </m:r>
            </m:e>
            <m:sub>
              <m:r>
                <w:rPr>
                  <w:rFonts w:ascii="Cambria Math" w:hAnsi="Cambria Math"/>
                </w:rPr>
                <m:t>5j</m:t>
              </m:r>
            </m:sub>
            <m:sup>
              <m:r>
                <w:rPr>
                  <w:rFonts w:ascii="Cambria Math" w:hAnsi="Cambria Math"/>
                </w:rPr>
                <m:t>W</m:t>
              </m:r>
            </m:sup>
          </m:sSubSup>
          <m:r>
            <w:rPr>
              <w:rFonts w:ascii="Cambria Math" w:hAnsi="Cambria Math"/>
            </w:rPr>
            <m:t>.</m:t>
          </m:r>
          <m:r>
            <m:rPr>
              <m:sty m:val="b"/>
            </m:rPr>
            <w:rPr>
              <w:rFonts w:ascii="Cambria Math" w:hAnsi="Cambria Math"/>
            </w:rPr>
            <m:t>I</m:t>
          </m:r>
          <m:r>
            <w:rPr>
              <w:rFonts w:ascii="Cambria Math" w:hAnsi="Cambria Math"/>
            </w:rPr>
            <m:t>  (11)</m:t>
          </m:r>
        </m:oMath>
      </m:oMathPara>
    </w:p>
    <w:p w14:paraId="13141E8B" w14:textId="403A7B1D" w:rsidR="002D5DBA" w:rsidRPr="00202FFB" w:rsidRDefault="002D5DBA" w:rsidP="00190D4C">
      <w:r>
        <w:t xml:space="preserve">Where </w:t>
      </w:r>
      <m:oMath>
        <m:r>
          <m:rPr>
            <m:sty m:val="b"/>
          </m:rPr>
          <w:rPr>
            <w:rFonts w:ascii="Cambria Math" w:hAnsi="Cambria Math"/>
          </w:rPr>
          <m:t>I</m:t>
        </m:r>
      </m:oMath>
      <w:r>
        <w:t xml:space="preserve"> is a vector of dummy variables identifying </w:t>
      </w:r>
      <w:r w:rsidR="00190D4C">
        <w:t>the</w:t>
      </w:r>
      <w:r>
        <w:t xml:space="preserve"> region</w:t>
      </w:r>
      <w:r w:rsidR="00190D4C">
        <w:t xml:space="preserve">s </w:t>
      </w:r>
      <m:oMath>
        <m:r>
          <w:rPr>
            <w:rFonts w:ascii="Cambria Math" w:hAnsi="Cambria Math"/>
          </w:rPr>
          <m:t>i</m:t>
        </m:r>
      </m:oMath>
      <w:r w:rsidR="00190D4C">
        <w:t xml:space="preserve"> (with the Murrum</w:t>
      </w:r>
      <w:r w:rsidR="00C72CD9">
        <w:t xml:space="preserve">bidgee region omitted). </w:t>
      </w:r>
      <w:r w:rsidR="00B63CC6">
        <w:t>Any observations</w:t>
      </w:r>
      <w:r w:rsidR="00190D4C">
        <w:t xml:space="preserve"> with an implied application rate </w:t>
      </w:r>
      <m:oMath>
        <m:sSub>
          <m:sSubPr>
            <m:ctrlPr>
              <w:rPr>
                <w:rFonts w:ascii="Cambria Math" w:hAnsi="Cambria Math"/>
              </w:rPr>
            </m:ctrlPr>
          </m:sSubPr>
          <m:e>
            <m:r>
              <w:rPr>
                <w:rFonts w:ascii="Cambria Math" w:hAnsi="Cambria Math"/>
              </w:rPr>
              <m:t>W</m:t>
            </m:r>
          </m:e>
          <m:sub>
            <m:r>
              <w:rPr>
                <w:rFonts w:ascii="Cambria Math" w:hAnsi="Cambria Math"/>
              </w:rPr>
              <m:t>ijt</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ijt</m:t>
            </m:r>
          </m:sub>
        </m:sSub>
      </m:oMath>
      <w:r w:rsidR="00190D4C">
        <w:t xml:space="preserve"> of greater than 20 ML / ha are omitted. In addition the following constraints are applied: </w:t>
      </w:r>
    </w:p>
    <w:p w14:paraId="05E46728" w14:textId="77777777" w:rsidR="002D5DBA" w:rsidRPr="00FC5F0C" w:rsidRDefault="00220589" w:rsidP="002D5DBA">
      <w:pPr>
        <w:pStyle w:val="BodyText"/>
      </w:pPr>
      <m:oMathPara>
        <m:oMathParaPr>
          <m:jc m:val="center"/>
        </m:oMathParaPr>
        <m:oMath>
          <m:sSubSup>
            <m:sSubSupPr>
              <m:ctrlPr>
                <w:rPr>
                  <w:rFonts w:ascii="Cambria Math" w:hAnsi="Cambria Math"/>
                </w:rPr>
              </m:ctrlPr>
            </m:sSubSupPr>
            <m:e>
              <m:r>
                <w:rPr>
                  <w:rFonts w:ascii="Cambria Math" w:hAnsi="Cambria Math"/>
                </w:rPr>
                <m:t>β</m:t>
              </m:r>
            </m:e>
            <m:sub>
              <m:r>
                <w:rPr>
                  <w:rFonts w:ascii="Cambria Math" w:hAnsi="Cambria Math"/>
                </w:rPr>
                <m:t>1ij</m:t>
              </m:r>
            </m:sub>
            <m:sup>
              <m:r>
                <w:rPr>
                  <w:rFonts w:ascii="Cambria Math" w:hAnsi="Cambria Math"/>
                </w:rPr>
                <m:t>W</m:t>
              </m:r>
            </m:sup>
          </m:sSubSup>
          <m:r>
            <w:rPr>
              <w:rFonts w:ascii="Cambria Math" w:hAnsi="Cambria Math"/>
            </w:rPr>
            <m:t>&lt;0,</m:t>
          </m:r>
          <m:sSubSup>
            <m:sSubSupPr>
              <m:ctrlPr>
                <w:rPr>
                  <w:rFonts w:ascii="Cambria Math" w:hAnsi="Cambria Math"/>
                </w:rPr>
              </m:ctrlPr>
            </m:sSubSupPr>
            <m:e>
              <m:r>
                <w:rPr>
                  <w:rFonts w:ascii="Cambria Math" w:hAnsi="Cambria Math"/>
                </w:rPr>
                <m:t>β</m:t>
              </m:r>
            </m:e>
            <m:sub>
              <m:r>
                <w:rPr>
                  <w:rFonts w:ascii="Cambria Math" w:hAnsi="Cambria Math"/>
                </w:rPr>
                <m:t>2ij</m:t>
              </m:r>
            </m:sub>
            <m:sup>
              <m:r>
                <w:rPr>
                  <w:rFonts w:ascii="Cambria Math" w:hAnsi="Cambria Math"/>
                </w:rPr>
                <m:t>W</m:t>
              </m:r>
            </m:sup>
          </m:sSubSup>
          <m:r>
            <w:rPr>
              <w:rFonts w:ascii="Cambria Math" w:hAnsi="Cambria Math"/>
            </w:rPr>
            <m:t>&lt;0,</m:t>
          </m:r>
          <m:sSubSup>
            <m:sSubSupPr>
              <m:ctrlPr>
                <w:rPr>
                  <w:rFonts w:ascii="Cambria Math" w:hAnsi="Cambria Math"/>
                </w:rPr>
              </m:ctrlPr>
            </m:sSubSupPr>
            <m:e>
              <m:r>
                <w:rPr>
                  <w:rFonts w:ascii="Cambria Math" w:hAnsi="Cambria Math"/>
                </w:rPr>
                <m:t>β</m:t>
              </m:r>
            </m:e>
            <m:sub>
              <m:r>
                <w:rPr>
                  <w:rFonts w:ascii="Cambria Math" w:hAnsi="Cambria Math"/>
                </w:rPr>
                <m:t>3ij</m:t>
              </m:r>
            </m:sub>
            <m:sup>
              <m:r>
                <w:rPr>
                  <w:rFonts w:ascii="Cambria Math" w:hAnsi="Cambria Math"/>
                </w:rPr>
                <m:t>O</m:t>
              </m:r>
            </m:sup>
          </m:sSubSup>
          <m:r>
            <w:rPr>
              <w:rFonts w:ascii="Cambria Math" w:hAnsi="Cambria Math"/>
            </w:rPr>
            <m:t>&gt;0</m:t>
          </m:r>
        </m:oMath>
      </m:oMathPara>
    </w:p>
    <w:p w14:paraId="265626E6" w14:textId="511D1323" w:rsidR="00190D4C" w:rsidRDefault="00B63CC6" w:rsidP="00A02654">
      <w:pPr>
        <w:pStyle w:val="BodyText1"/>
      </w:pPr>
      <w:r>
        <w:t>That is</w:t>
      </w:r>
      <w:r w:rsidR="00C72CD9">
        <w:t>,</w:t>
      </w:r>
      <w:r>
        <w:t xml:space="preserve"> </w:t>
      </w:r>
      <w:r w:rsidR="00190D4C">
        <w:t xml:space="preserve">water demand (for a given land area) must be downward sloping, rainfall must be a substitute for irrigation water and water demand must </w:t>
      </w:r>
      <w:r>
        <w:t>be</w:t>
      </w:r>
      <w:r w:rsidR="00190D4C">
        <w:t xml:space="preserve"> increasing in </w:t>
      </w:r>
      <w:r w:rsidR="000C6F80">
        <w:t xml:space="preserve">response to an increase in </w:t>
      </w:r>
      <w:r w:rsidR="00190D4C">
        <w:t xml:space="preserve">output prices. Results are shown in </w:t>
      </w:r>
      <w:r w:rsidR="00A02654">
        <w:fldChar w:fldCharType="begin"/>
      </w:r>
      <w:r w:rsidR="00A02654">
        <w:instrText xml:space="preserve"> REF _Ref505155471 \h </w:instrText>
      </w:r>
      <w:r w:rsidR="00A02654">
        <w:fldChar w:fldCharType="separate"/>
      </w:r>
      <w:r w:rsidR="00F709AB">
        <w:t xml:space="preserve">Table </w:t>
      </w:r>
      <w:r w:rsidR="00F709AB">
        <w:rPr>
          <w:noProof/>
        </w:rPr>
        <w:t>14</w:t>
      </w:r>
      <w:r w:rsidR="00A02654">
        <w:fldChar w:fldCharType="end"/>
      </w:r>
      <w:r w:rsidR="00A02654">
        <w:t>.</w:t>
      </w:r>
    </w:p>
    <w:p w14:paraId="521F1654" w14:textId="1DEA726D" w:rsidR="00190D4C" w:rsidRDefault="00190D4C" w:rsidP="00190D4C">
      <w:r>
        <w:t xml:space="preserve">An additional term was included for the Fruits and nuts industry in VIC Murray: an interaction between the VIC Murray region dummy and time </w:t>
      </w:r>
      <m:oMath>
        <m:r>
          <w:rPr>
            <w:rFonts w:ascii="Cambria Math" w:hAnsi="Cambria Math"/>
          </w:rPr>
          <m:t>t</m:t>
        </m:r>
      </m:oMath>
      <w:r>
        <w:t xml:space="preserve">. This term was included to account for the large exogenous increase in </w:t>
      </w:r>
      <w:r w:rsidR="000C6F80">
        <w:t xml:space="preserve">the </w:t>
      </w:r>
      <w:r>
        <w:t>water application rate observed in this region</w:t>
      </w:r>
      <w:r w:rsidR="00674637">
        <w:t>, likely due to an expansion in almonds (see Hughes et al. 2016). Ideally, nuts would be included as a separate activity in the model. Data is not currently available to support this, but could become av</w:t>
      </w:r>
      <w:r w:rsidR="007E7595">
        <w:t xml:space="preserve">ailable in </w:t>
      </w:r>
      <w:r w:rsidR="000C6F80">
        <w:t xml:space="preserve">the </w:t>
      </w:r>
      <w:r w:rsidR="007E7595">
        <w:t xml:space="preserve">future (see </w:t>
      </w:r>
      <w:r w:rsidR="00F85C2D">
        <w:t>chapter</w:t>
      </w:r>
      <w:r w:rsidR="007E7595">
        <w:t xml:space="preserve"> 6</w:t>
      </w:r>
      <w:r w:rsidR="00674637">
        <w:t>).</w:t>
      </w:r>
    </w:p>
    <w:p w14:paraId="1084B768" w14:textId="52589A8C" w:rsidR="002A434A" w:rsidRDefault="00CD0CC5" w:rsidP="00674637">
      <w:pPr>
        <w:sectPr w:rsidR="002A434A" w:rsidSect="003772F4">
          <w:pgSz w:w="11906" w:h="16838"/>
          <w:pgMar w:top="1247" w:right="1418" w:bottom="1418" w:left="1418" w:header="510" w:footer="709" w:gutter="0"/>
          <w:cols w:space="708"/>
          <w:docGrid w:linePitch="360"/>
        </w:sectPr>
      </w:pPr>
      <w:r>
        <w:t xml:space="preserve">An interaction term between the allocation price and rainfall was </w:t>
      </w:r>
      <w:r w:rsidR="006211B0">
        <w:t>used</w:t>
      </w:r>
      <w:r w:rsidR="00C72CD9">
        <w:t xml:space="preserve"> for grapevines and o</w:t>
      </w:r>
      <w:r>
        <w:t xml:space="preserve">ther broadacre irrigation activities. This term accounts for </w:t>
      </w:r>
      <w:r w:rsidR="006211B0">
        <w:t>non-linear responses to changes in allocation price</w:t>
      </w:r>
      <w:r>
        <w:t xml:space="preserve"> during drought or w</w:t>
      </w:r>
      <w:r w:rsidR="007345C8">
        <w:t xml:space="preserve">et years for these activities. </w:t>
      </w:r>
    </w:p>
    <w:p w14:paraId="1E4E9D0F" w14:textId="3798905B" w:rsidR="001951C0" w:rsidRPr="00A02654" w:rsidRDefault="001951C0" w:rsidP="00A02654">
      <w:pPr>
        <w:pStyle w:val="BodyText1"/>
      </w:pPr>
      <w:bookmarkStart w:id="71" w:name="_Ref486529083"/>
      <w:bookmarkStart w:id="72" w:name="_Ref491351140"/>
      <w:bookmarkStart w:id="73" w:name="_Toc491356920"/>
      <w:r>
        <w:lastRenderedPageBreak/>
        <w:t>The parameter for allocation price did not meet the constraint for cotton, grapevines, other broadacre, other crops and pastures – hay irrigation activities (</w:t>
      </w:r>
      <w:r w:rsidR="00A02654">
        <w:fldChar w:fldCharType="begin"/>
      </w:r>
      <w:r w:rsidR="00A02654">
        <w:instrText xml:space="preserve"> REF _Ref505155471 \h </w:instrText>
      </w:r>
      <w:r w:rsidR="00A02654">
        <w:fldChar w:fldCharType="separate"/>
      </w:r>
      <w:r w:rsidR="00F709AB">
        <w:t xml:space="preserve">Table </w:t>
      </w:r>
      <w:r w:rsidR="00F709AB">
        <w:rPr>
          <w:noProof/>
        </w:rPr>
        <w:t>14</w:t>
      </w:r>
      <w:r w:rsidR="00A02654">
        <w:fldChar w:fldCharType="end"/>
      </w:r>
      <w:r>
        <w:t>). However water use for these activities remains dependant on allocation price which is an explanatory term for irrigated land use.</w:t>
      </w:r>
      <w:r w:rsidR="00A02654">
        <w:br/>
      </w:r>
    </w:p>
    <w:p w14:paraId="4E7CD80A" w14:textId="77777777" w:rsidR="001B552F" w:rsidRDefault="001B552F" w:rsidP="001B552F">
      <w:pPr>
        <w:pStyle w:val="Caption"/>
      </w:pPr>
      <w:bookmarkStart w:id="74" w:name="_Ref505155471"/>
      <w:bookmarkStart w:id="75" w:name="_Toc505345897"/>
      <w:r>
        <w:t xml:space="preserve">Table </w:t>
      </w:r>
      <w:r w:rsidR="00915ABD">
        <w:fldChar w:fldCharType="begin"/>
      </w:r>
      <w:r>
        <w:instrText xml:space="preserve"> SEQ Table \* ARABIC </w:instrText>
      </w:r>
      <w:r w:rsidR="00915ABD">
        <w:fldChar w:fldCharType="separate"/>
      </w:r>
      <w:r w:rsidR="00F709AB">
        <w:rPr>
          <w:noProof/>
        </w:rPr>
        <w:t>14</w:t>
      </w:r>
      <w:r w:rsidR="00915ABD">
        <w:fldChar w:fldCharType="end"/>
      </w:r>
      <w:bookmarkEnd w:id="71"/>
      <w:bookmarkEnd w:id="72"/>
      <w:bookmarkEnd w:id="74"/>
      <w:r>
        <w:t xml:space="preserve"> Regressions results for water application rate by irrigation activity</w:t>
      </w:r>
      <w:bookmarkEnd w:id="73"/>
      <w:bookmarkEnd w:id="75"/>
    </w:p>
    <w:tbl>
      <w:tblPr>
        <w:tblW w:w="5000" w:type="pct"/>
        <w:tblLook w:val="04A0" w:firstRow="1" w:lastRow="0" w:firstColumn="1" w:lastColumn="0" w:noHBand="0" w:noVBand="1"/>
      </w:tblPr>
      <w:tblGrid>
        <w:gridCol w:w="1560"/>
        <w:gridCol w:w="995"/>
        <w:gridCol w:w="825"/>
        <w:gridCol w:w="1020"/>
        <w:gridCol w:w="825"/>
        <w:gridCol w:w="825"/>
        <w:gridCol w:w="825"/>
        <w:gridCol w:w="918"/>
        <w:gridCol w:w="986"/>
        <w:gridCol w:w="1638"/>
        <w:gridCol w:w="1227"/>
        <w:gridCol w:w="1020"/>
        <w:gridCol w:w="938"/>
        <w:gridCol w:w="571"/>
      </w:tblGrid>
      <w:tr w:rsidR="009C6557" w:rsidRPr="00AA13C5" w14:paraId="59B208B5" w14:textId="77777777" w:rsidTr="009C6557">
        <w:trPr>
          <w:trHeight w:val="714"/>
        </w:trPr>
        <w:tc>
          <w:tcPr>
            <w:tcW w:w="550" w:type="pct"/>
            <w:tcBorders>
              <w:top w:val="single" w:sz="4" w:space="0" w:color="auto"/>
              <w:left w:val="nil"/>
              <w:bottom w:val="single" w:sz="4" w:space="0" w:color="auto"/>
              <w:right w:val="nil"/>
            </w:tcBorders>
            <w:shd w:val="clear" w:color="auto" w:fill="auto"/>
            <w:noWrap/>
            <w:vAlign w:val="center"/>
            <w:hideMark/>
          </w:tcPr>
          <w:p w14:paraId="23F5F364" w14:textId="77777777" w:rsidR="00AA13C5" w:rsidRPr="00AA13C5" w:rsidRDefault="00AA13C5" w:rsidP="00AA13C5">
            <w:pPr>
              <w:spacing w:after="0" w:line="240" w:lineRule="auto"/>
              <w:rPr>
                <w:rFonts w:eastAsia="Times New Roman"/>
                <w:b/>
                <w:bCs/>
                <w:color w:val="000000"/>
                <w:sz w:val="19"/>
                <w:szCs w:val="19"/>
                <w:lang w:eastAsia="en-AU"/>
              </w:rPr>
            </w:pPr>
            <w:r w:rsidRPr="00AA13C5">
              <w:rPr>
                <w:rFonts w:eastAsia="Times New Roman"/>
                <w:b/>
                <w:bCs/>
                <w:color w:val="000000"/>
                <w:sz w:val="19"/>
                <w:szCs w:val="19"/>
                <w:lang w:eastAsia="en-AU"/>
              </w:rPr>
              <w:t>Industry</w:t>
            </w:r>
          </w:p>
        </w:tc>
        <w:tc>
          <w:tcPr>
            <w:tcW w:w="351" w:type="pct"/>
            <w:tcBorders>
              <w:top w:val="single" w:sz="4" w:space="0" w:color="auto"/>
              <w:left w:val="nil"/>
              <w:bottom w:val="single" w:sz="4" w:space="0" w:color="auto"/>
              <w:right w:val="nil"/>
            </w:tcBorders>
            <w:shd w:val="clear" w:color="auto" w:fill="auto"/>
            <w:noWrap/>
            <w:vAlign w:val="center"/>
            <w:hideMark/>
          </w:tcPr>
          <w:p w14:paraId="2D870318"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Constant</w:t>
            </w:r>
          </w:p>
        </w:tc>
        <w:tc>
          <w:tcPr>
            <w:tcW w:w="291" w:type="pct"/>
            <w:tcBorders>
              <w:top w:val="single" w:sz="4" w:space="0" w:color="auto"/>
              <w:left w:val="nil"/>
              <w:bottom w:val="single" w:sz="4" w:space="0" w:color="auto"/>
              <w:right w:val="nil"/>
            </w:tcBorders>
            <w:shd w:val="clear" w:color="auto" w:fill="auto"/>
            <w:noWrap/>
            <w:vAlign w:val="center"/>
            <w:hideMark/>
          </w:tcPr>
          <w:p w14:paraId="2F8E794D"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D0</w:t>
            </w:r>
          </w:p>
        </w:tc>
        <w:tc>
          <w:tcPr>
            <w:tcW w:w="360" w:type="pct"/>
            <w:tcBorders>
              <w:top w:val="single" w:sz="4" w:space="0" w:color="auto"/>
              <w:left w:val="nil"/>
              <w:bottom w:val="single" w:sz="4" w:space="0" w:color="auto"/>
              <w:right w:val="nil"/>
            </w:tcBorders>
            <w:shd w:val="clear" w:color="auto" w:fill="auto"/>
            <w:noWrap/>
            <w:vAlign w:val="center"/>
            <w:hideMark/>
          </w:tcPr>
          <w:p w14:paraId="07D040B0"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D1</w:t>
            </w:r>
          </w:p>
        </w:tc>
        <w:tc>
          <w:tcPr>
            <w:tcW w:w="291" w:type="pct"/>
            <w:tcBorders>
              <w:top w:val="single" w:sz="4" w:space="0" w:color="auto"/>
              <w:left w:val="nil"/>
              <w:bottom w:val="single" w:sz="4" w:space="0" w:color="auto"/>
              <w:right w:val="nil"/>
            </w:tcBorders>
            <w:shd w:val="clear" w:color="auto" w:fill="auto"/>
            <w:noWrap/>
            <w:vAlign w:val="center"/>
            <w:hideMark/>
          </w:tcPr>
          <w:p w14:paraId="5B4E5EE0"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D2</w:t>
            </w:r>
          </w:p>
        </w:tc>
        <w:tc>
          <w:tcPr>
            <w:tcW w:w="291" w:type="pct"/>
            <w:tcBorders>
              <w:top w:val="single" w:sz="4" w:space="0" w:color="auto"/>
              <w:left w:val="nil"/>
              <w:bottom w:val="single" w:sz="4" w:space="0" w:color="auto"/>
              <w:right w:val="nil"/>
            </w:tcBorders>
            <w:shd w:val="clear" w:color="auto" w:fill="auto"/>
            <w:noWrap/>
            <w:vAlign w:val="center"/>
            <w:hideMark/>
          </w:tcPr>
          <w:p w14:paraId="689AA764"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D3</w:t>
            </w:r>
          </w:p>
        </w:tc>
        <w:tc>
          <w:tcPr>
            <w:tcW w:w="291" w:type="pct"/>
            <w:tcBorders>
              <w:top w:val="single" w:sz="4" w:space="0" w:color="auto"/>
              <w:left w:val="nil"/>
              <w:bottom w:val="single" w:sz="4" w:space="0" w:color="auto"/>
              <w:right w:val="nil"/>
            </w:tcBorders>
            <w:shd w:val="clear" w:color="auto" w:fill="auto"/>
            <w:noWrap/>
            <w:vAlign w:val="center"/>
            <w:hideMark/>
          </w:tcPr>
          <w:p w14:paraId="10149660"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D4</w:t>
            </w:r>
          </w:p>
        </w:tc>
        <w:tc>
          <w:tcPr>
            <w:tcW w:w="324" w:type="pct"/>
            <w:tcBorders>
              <w:top w:val="single" w:sz="4" w:space="0" w:color="auto"/>
              <w:left w:val="nil"/>
              <w:bottom w:val="single" w:sz="4" w:space="0" w:color="auto"/>
              <w:right w:val="nil"/>
            </w:tcBorders>
            <w:shd w:val="clear" w:color="auto" w:fill="auto"/>
            <w:noWrap/>
            <w:vAlign w:val="center"/>
            <w:hideMark/>
          </w:tcPr>
          <w:p w14:paraId="00D99BB3" w14:textId="77777777" w:rsidR="00AA13C5" w:rsidRPr="00AA13C5" w:rsidRDefault="00AA13C5" w:rsidP="00AA13C5">
            <w:pPr>
              <w:spacing w:after="0" w:line="240" w:lineRule="auto"/>
              <w:rPr>
                <w:rFonts w:eastAsia="Times New Roman"/>
                <w:b/>
                <w:bCs/>
                <w:color w:val="000000"/>
                <w:sz w:val="19"/>
                <w:szCs w:val="19"/>
                <w:lang w:eastAsia="en-AU"/>
              </w:rPr>
            </w:pPr>
            <w:r w:rsidRPr="00AA13C5">
              <w:rPr>
                <w:rFonts w:eastAsia="Times New Roman"/>
                <w:b/>
                <w:bCs/>
                <w:color w:val="000000"/>
                <w:sz w:val="19"/>
                <w:szCs w:val="19"/>
                <w:lang w:eastAsia="en-AU"/>
              </w:rPr>
              <w:t>D Fruits</w:t>
            </w:r>
          </w:p>
        </w:tc>
        <w:tc>
          <w:tcPr>
            <w:tcW w:w="348" w:type="pct"/>
            <w:tcBorders>
              <w:top w:val="single" w:sz="4" w:space="0" w:color="auto"/>
              <w:left w:val="nil"/>
              <w:bottom w:val="single" w:sz="4" w:space="0" w:color="auto"/>
              <w:right w:val="nil"/>
            </w:tcBorders>
            <w:shd w:val="clear" w:color="auto" w:fill="auto"/>
            <w:noWrap/>
            <w:vAlign w:val="center"/>
            <w:hideMark/>
          </w:tcPr>
          <w:p w14:paraId="03199ACC" w14:textId="77777777" w:rsidR="009C6557"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 xml:space="preserve">Price </w:t>
            </w:r>
          </w:p>
          <w:p w14:paraId="3736C5B2" w14:textId="085430D8"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(P)</w:t>
            </w:r>
          </w:p>
        </w:tc>
        <w:tc>
          <w:tcPr>
            <w:tcW w:w="578" w:type="pct"/>
            <w:tcBorders>
              <w:top w:val="single" w:sz="4" w:space="0" w:color="auto"/>
              <w:left w:val="nil"/>
              <w:bottom w:val="single" w:sz="4" w:space="0" w:color="auto"/>
              <w:right w:val="nil"/>
            </w:tcBorders>
            <w:shd w:val="clear" w:color="auto" w:fill="auto"/>
            <w:noWrap/>
            <w:vAlign w:val="center"/>
            <w:hideMark/>
          </w:tcPr>
          <w:p w14:paraId="20E292CF" w14:textId="77777777" w:rsidR="009C6557"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 xml:space="preserve">Output price </w:t>
            </w:r>
          </w:p>
          <w:p w14:paraId="4B4B02D3" w14:textId="2F26CC7C"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(Y)</w:t>
            </w:r>
          </w:p>
        </w:tc>
        <w:tc>
          <w:tcPr>
            <w:tcW w:w="433" w:type="pct"/>
            <w:tcBorders>
              <w:top w:val="single" w:sz="4" w:space="0" w:color="auto"/>
              <w:left w:val="nil"/>
              <w:bottom w:val="single" w:sz="4" w:space="0" w:color="auto"/>
              <w:right w:val="nil"/>
            </w:tcBorders>
            <w:shd w:val="clear" w:color="auto" w:fill="auto"/>
            <w:noWrap/>
            <w:vAlign w:val="center"/>
            <w:hideMark/>
          </w:tcPr>
          <w:p w14:paraId="7E7F6B9A" w14:textId="77777777" w:rsidR="009C6557"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 xml:space="preserve">Rainfall </w:t>
            </w:r>
          </w:p>
          <w:p w14:paraId="17B830B2" w14:textId="794FDE21"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(R)</w:t>
            </w:r>
          </w:p>
        </w:tc>
        <w:tc>
          <w:tcPr>
            <w:tcW w:w="360" w:type="pct"/>
            <w:tcBorders>
              <w:top w:val="single" w:sz="4" w:space="0" w:color="auto"/>
              <w:left w:val="nil"/>
              <w:bottom w:val="single" w:sz="4" w:space="0" w:color="auto"/>
              <w:right w:val="nil"/>
            </w:tcBorders>
            <w:shd w:val="clear" w:color="auto" w:fill="auto"/>
            <w:noWrap/>
            <w:vAlign w:val="center"/>
            <w:hideMark/>
          </w:tcPr>
          <w:p w14:paraId="1030E08D"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I RP</w:t>
            </w:r>
          </w:p>
        </w:tc>
        <w:tc>
          <w:tcPr>
            <w:tcW w:w="331" w:type="pct"/>
            <w:tcBorders>
              <w:top w:val="single" w:sz="4" w:space="0" w:color="auto"/>
              <w:left w:val="nil"/>
              <w:bottom w:val="single" w:sz="4" w:space="0" w:color="auto"/>
              <w:right w:val="nil"/>
            </w:tcBorders>
            <w:shd w:val="clear" w:color="auto" w:fill="auto"/>
            <w:noWrap/>
            <w:vAlign w:val="center"/>
            <w:hideMark/>
          </w:tcPr>
          <w:p w14:paraId="08097EDE" w14:textId="77777777" w:rsidR="009C6557"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 xml:space="preserve">Time </w:t>
            </w:r>
          </w:p>
          <w:p w14:paraId="3E234A6E" w14:textId="6F54CD42"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(t)</w:t>
            </w:r>
          </w:p>
        </w:tc>
        <w:tc>
          <w:tcPr>
            <w:tcW w:w="202" w:type="pct"/>
            <w:tcBorders>
              <w:top w:val="single" w:sz="4" w:space="0" w:color="auto"/>
              <w:left w:val="nil"/>
              <w:bottom w:val="single" w:sz="4" w:space="0" w:color="auto"/>
              <w:right w:val="nil"/>
            </w:tcBorders>
            <w:shd w:val="clear" w:color="auto" w:fill="auto"/>
            <w:noWrap/>
            <w:vAlign w:val="center"/>
            <w:hideMark/>
          </w:tcPr>
          <w:p w14:paraId="6AEB2331" w14:textId="77777777" w:rsidR="00AA13C5" w:rsidRPr="00AA13C5" w:rsidRDefault="00AA13C5" w:rsidP="00AA13C5">
            <w:pPr>
              <w:spacing w:after="0" w:line="240" w:lineRule="auto"/>
              <w:jc w:val="right"/>
              <w:rPr>
                <w:rFonts w:eastAsia="Times New Roman"/>
                <w:b/>
                <w:bCs/>
                <w:color w:val="000000"/>
                <w:sz w:val="19"/>
                <w:szCs w:val="19"/>
                <w:lang w:eastAsia="en-AU"/>
              </w:rPr>
            </w:pPr>
            <w:r w:rsidRPr="00AA13C5">
              <w:rPr>
                <w:rFonts w:eastAsia="Times New Roman"/>
                <w:b/>
                <w:bCs/>
                <w:color w:val="000000"/>
                <w:sz w:val="19"/>
                <w:szCs w:val="19"/>
                <w:lang w:eastAsia="en-AU"/>
              </w:rPr>
              <w:t>R</w:t>
            </w:r>
            <w:r w:rsidRPr="00AA13C5">
              <w:rPr>
                <w:rFonts w:eastAsia="Times New Roman"/>
                <w:b/>
                <w:bCs/>
                <w:color w:val="000000"/>
                <w:sz w:val="19"/>
                <w:szCs w:val="19"/>
                <w:vertAlign w:val="superscript"/>
                <w:lang w:eastAsia="en-AU"/>
              </w:rPr>
              <w:t>2</w:t>
            </w:r>
          </w:p>
        </w:tc>
      </w:tr>
      <w:tr w:rsidR="009C6557" w:rsidRPr="00AA13C5" w14:paraId="0AE85394" w14:textId="77777777" w:rsidTr="009C6557">
        <w:trPr>
          <w:trHeight w:val="300"/>
        </w:trPr>
        <w:tc>
          <w:tcPr>
            <w:tcW w:w="550" w:type="pct"/>
            <w:tcBorders>
              <w:top w:val="nil"/>
              <w:left w:val="nil"/>
              <w:bottom w:val="nil"/>
              <w:right w:val="nil"/>
            </w:tcBorders>
            <w:shd w:val="clear" w:color="auto" w:fill="auto"/>
            <w:noWrap/>
            <w:vAlign w:val="bottom"/>
            <w:hideMark/>
          </w:tcPr>
          <w:p w14:paraId="1E04F5FA"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Cotton</w:t>
            </w:r>
          </w:p>
        </w:tc>
        <w:tc>
          <w:tcPr>
            <w:tcW w:w="351" w:type="pct"/>
            <w:tcBorders>
              <w:top w:val="nil"/>
              <w:left w:val="nil"/>
              <w:bottom w:val="nil"/>
              <w:right w:val="nil"/>
            </w:tcBorders>
            <w:shd w:val="clear" w:color="auto" w:fill="auto"/>
            <w:noWrap/>
            <w:vAlign w:val="bottom"/>
            <w:hideMark/>
          </w:tcPr>
          <w:p w14:paraId="3F5D32B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10.962*</w:t>
            </w:r>
          </w:p>
        </w:tc>
        <w:tc>
          <w:tcPr>
            <w:tcW w:w="291" w:type="pct"/>
            <w:tcBorders>
              <w:top w:val="nil"/>
              <w:left w:val="nil"/>
              <w:bottom w:val="nil"/>
              <w:right w:val="nil"/>
            </w:tcBorders>
            <w:shd w:val="clear" w:color="auto" w:fill="auto"/>
            <w:noWrap/>
            <w:vAlign w:val="bottom"/>
            <w:hideMark/>
          </w:tcPr>
          <w:p w14:paraId="756F677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-0.981</w:t>
            </w:r>
          </w:p>
        </w:tc>
        <w:tc>
          <w:tcPr>
            <w:tcW w:w="360" w:type="pct"/>
            <w:tcBorders>
              <w:top w:val="nil"/>
              <w:left w:val="nil"/>
              <w:bottom w:val="nil"/>
              <w:right w:val="nil"/>
            </w:tcBorders>
            <w:shd w:val="clear" w:color="auto" w:fill="auto"/>
            <w:noWrap/>
            <w:vAlign w:val="bottom"/>
            <w:hideMark/>
          </w:tcPr>
          <w:p w14:paraId="4DE19AB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-4.59E-15</w:t>
            </w:r>
          </w:p>
        </w:tc>
        <w:tc>
          <w:tcPr>
            <w:tcW w:w="291" w:type="pct"/>
            <w:tcBorders>
              <w:top w:val="nil"/>
              <w:left w:val="nil"/>
              <w:bottom w:val="nil"/>
              <w:right w:val="nil"/>
            </w:tcBorders>
            <w:shd w:val="clear" w:color="auto" w:fill="auto"/>
            <w:noWrap/>
            <w:vAlign w:val="bottom"/>
            <w:hideMark/>
          </w:tcPr>
          <w:p w14:paraId="62F97828"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291" w:type="pct"/>
            <w:tcBorders>
              <w:top w:val="nil"/>
              <w:left w:val="nil"/>
              <w:bottom w:val="nil"/>
              <w:right w:val="nil"/>
            </w:tcBorders>
            <w:shd w:val="clear" w:color="auto" w:fill="auto"/>
            <w:noWrap/>
            <w:vAlign w:val="bottom"/>
            <w:hideMark/>
          </w:tcPr>
          <w:p w14:paraId="1783854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-1.377*</w:t>
            </w:r>
          </w:p>
        </w:tc>
        <w:tc>
          <w:tcPr>
            <w:tcW w:w="291" w:type="pct"/>
            <w:tcBorders>
              <w:top w:val="nil"/>
              <w:left w:val="nil"/>
              <w:bottom w:val="nil"/>
              <w:right w:val="nil"/>
            </w:tcBorders>
            <w:shd w:val="clear" w:color="auto" w:fill="auto"/>
            <w:noWrap/>
            <w:vAlign w:val="bottom"/>
            <w:hideMark/>
          </w:tcPr>
          <w:p w14:paraId="2B9CBA1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-0.749</w:t>
            </w:r>
          </w:p>
        </w:tc>
        <w:tc>
          <w:tcPr>
            <w:tcW w:w="324" w:type="pct"/>
            <w:tcBorders>
              <w:top w:val="nil"/>
              <w:left w:val="nil"/>
              <w:bottom w:val="nil"/>
              <w:right w:val="nil"/>
            </w:tcBorders>
            <w:shd w:val="clear" w:color="auto" w:fill="auto"/>
            <w:noWrap/>
            <w:vAlign w:val="bottom"/>
            <w:hideMark/>
          </w:tcPr>
          <w:p w14:paraId="369C51F6"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26010E08"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1183FD36"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433" w:type="pct"/>
            <w:tcBorders>
              <w:top w:val="nil"/>
              <w:left w:val="nil"/>
              <w:bottom w:val="nil"/>
              <w:right w:val="nil"/>
            </w:tcBorders>
            <w:shd w:val="clear" w:color="auto" w:fill="auto"/>
            <w:noWrap/>
            <w:vAlign w:val="bottom"/>
            <w:hideMark/>
          </w:tcPr>
          <w:p w14:paraId="0F95ABD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-0.006*</w:t>
            </w:r>
          </w:p>
        </w:tc>
        <w:tc>
          <w:tcPr>
            <w:tcW w:w="360" w:type="pct"/>
            <w:tcBorders>
              <w:top w:val="nil"/>
              <w:left w:val="nil"/>
              <w:bottom w:val="nil"/>
              <w:right w:val="nil"/>
            </w:tcBorders>
            <w:shd w:val="clear" w:color="auto" w:fill="auto"/>
            <w:noWrap/>
            <w:vAlign w:val="bottom"/>
            <w:hideMark/>
          </w:tcPr>
          <w:p w14:paraId="7BEE9C9D"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0BFB2BC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0.032</w:t>
            </w:r>
          </w:p>
        </w:tc>
        <w:tc>
          <w:tcPr>
            <w:tcW w:w="202" w:type="pct"/>
            <w:tcBorders>
              <w:top w:val="nil"/>
              <w:left w:val="nil"/>
              <w:bottom w:val="nil"/>
              <w:right w:val="nil"/>
            </w:tcBorders>
            <w:shd w:val="clear" w:color="auto" w:fill="auto"/>
            <w:noWrap/>
            <w:vAlign w:val="bottom"/>
            <w:hideMark/>
          </w:tcPr>
          <w:p w14:paraId="3DCA09D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0.60</w:t>
            </w:r>
          </w:p>
        </w:tc>
      </w:tr>
      <w:tr w:rsidR="009C6557" w:rsidRPr="00AA13C5" w14:paraId="50A5EB00" w14:textId="77777777" w:rsidTr="009C6557">
        <w:trPr>
          <w:trHeight w:val="300"/>
        </w:trPr>
        <w:tc>
          <w:tcPr>
            <w:tcW w:w="550" w:type="pct"/>
            <w:tcBorders>
              <w:top w:val="nil"/>
              <w:left w:val="nil"/>
              <w:bottom w:val="nil"/>
              <w:right w:val="nil"/>
            </w:tcBorders>
            <w:shd w:val="clear" w:color="auto" w:fill="auto"/>
            <w:noWrap/>
            <w:vAlign w:val="bottom"/>
            <w:hideMark/>
          </w:tcPr>
          <w:p w14:paraId="0DDAF969"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249EDDC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7DAFE53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(0.11)</w:t>
            </w:r>
          </w:p>
        </w:tc>
        <w:tc>
          <w:tcPr>
            <w:tcW w:w="360" w:type="pct"/>
            <w:tcBorders>
              <w:top w:val="nil"/>
              <w:left w:val="nil"/>
              <w:bottom w:val="nil"/>
              <w:right w:val="nil"/>
            </w:tcBorders>
            <w:shd w:val="clear" w:color="auto" w:fill="auto"/>
            <w:noWrap/>
            <w:vAlign w:val="bottom"/>
            <w:hideMark/>
          </w:tcPr>
          <w:p w14:paraId="5FF8CCA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66D0686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64421EA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579F6B7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(0.15)</w:t>
            </w:r>
          </w:p>
        </w:tc>
        <w:tc>
          <w:tcPr>
            <w:tcW w:w="324" w:type="pct"/>
            <w:tcBorders>
              <w:top w:val="nil"/>
              <w:left w:val="nil"/>
              <w:bottom w:val="nil"/>
              <w:right w:val="nil"/>
            </w:tcBorders>
            <w:shd w:val="clear" w:color="auto" w:fill="auto"/>
            <w:noWrap/>
            <w:vAlign w:val="bottom"/>
            <w:hideMark/>
          </w:tcPr>
          <w:p w14:paraId="19EBDE20"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08B53630"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2AEC8AA2"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433" w:type="pct"/>
            <w:tcBorders>
              <w:top w:val="nil"/>
              <w:left w:val="nil"/>
              <w:bottom w:val="nil"/>
              <w:right w:val="nil"/>
            </w:tcBorders>
            <w:shd w:val="clear" w:color="auto" w:fill="auto"/>
            <w:noWrap/>
            <w:vAlign w:val="bottom"/>
            <w:hideMark/>
          </w:tcPr>
          <w:p w14:paraId="4F8F2F5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4318B35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25A4DF0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(0.65)</w:t>
            </w:r>
          </w:p>
        </w:tc>
        <w:tc>
          <w:tcPr>
            <w:tcW w:w="202" w:type="pct"/>
            <w:tcBorders>
              <w:top w:val="nil"/>
              <w:left w:val="nil"/>
              <w:bottom w:val="nil"/>
              <w:right w:val="nil"/>
            </w:tcBorders>
            <w:shd w:val="clear" w:color="auto" w:fill="auto"/>
            <w:noWrap/>
            <w:vAlign w:val="bottom"/>
            <w:hideMark/>
          </w:tcPr>
          <w:p w14:paraId="410DFCBE"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715EE9A5" w14:textId="77777777" w:rsidTr="009C6557">
        <w:trPr>
          <w:trHeight w:val="300"/>
        </w:trPr>
        <w:tc>
          <w:tcPr>
            <w:tcW w:w="550" w:type="pct"/>
            <w:tcBorders>
              <w:top w:val="nil"/>
              <w:left w:val="nil"/>
              <w:bottom w:val="nil"/>
              <w:right w:val="nil"/>
            </w:tcBorders>
            <w:shd w:val="clear" w:color="auto" w:fill="auto"/>
            <w:noWrap/>
            <w:vAlign w:val="bottom"/>
            <w:hideMark/>
          </w:tcPr>
          <w:p w14:paraId="08354103"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Grapevines</w:t>
            </w:r>
          </w:p>
        </w:tc>
        <w:tc>
          <w:tcPr>
            <w:tcW w:w="351" w:type="pct"/>
            <w:tcBorders>
              <w:top w:val="nil"/>
              <w:left w:val="nil"/>
              <w:bottom w:val="nil"/>
              <w:right w:val="nil"/>
            </w:tcBorders>
            <w:shd w:val="clear" w:color="auto" w:fill="auto"/>
            <w:noWrap/>
            <w:vAlign w:val="bottom"/>
            <w:hideMark/>
          </w:tcPr>
          <w:p w14:paraId="7E0BB3A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6.982*</w:t>
            </w:r>
          </w:p>
        </w:tc>
        <w:tc>
          <w:tcPr>
            <w:tcW w:w="291" w:type="pct"/>
            <w:tcBorders>
              <w:top w:val="nil"/>
              <w:left w:val="nil"/>
              <w:bottom w:val="nil"/>
              <w:right w:val="nil"/>
            </w:tcBorders>
            <w:shd w:val="clear" w:color="auto" w:fill="auto"/>
            <w:noWrap/>
            <w:vAlign w:val="bottom"/>
            <w:hideMark/>
          </w:tcPr>
          <w:p w14:paraId="21F8FEC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-1.767*</w:t>
            </w:r>
          </w:p>
        </w:tc>
        <w:tc>
          <w:tcPr>
            <w:tcW w:w="360" w:type="pct"/>
            <w:tcBorders>
              <w:top w:val="nil"/>
              <w:left w:val="nil"/>
              <w:bottom w:val="nil"/>
              <w:right w:val="nil"/>
            </w:tcBorders>
            <w:shd w:val="clear" w:color="auto" w:fill="auto"/>
            <w:noWrap/>
            <w:vAlign w:val="bottom"/>
            <w:hideMark/>
          </w:tcPr>
          <w:p w14:paraId="6852760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-0.741</w:t>
            </w:r>
          </w:p>
        </w:tc>
        <w:tc>
          <w:tcPr>
            <w:tcW w:w="291" w:type="pct"/>
            <w:tcBorders>
              <w:top w:val="nil"/>
              <w:left w:val="nil"/>
              <w:bottom w:val="nil"/>
              <w:right w:val="nil"/>
            </w:tcBorders>
            <w:shd w:val="clear" w:color="auto" w:fill="auto"/>
            <w:noWrap/>
            <w:vAlign w:val="bottom"/>
            <w:hideMark/>
          </w:tcPr>
          <w:p w14:paraId="3E87AA3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-0.147</w:t>
            </w:r>
          </w:p>
        </w:tc>
        <w:tc>
          <w:tcPr>
            <w:tcW w:w="291" w:type="pct"/>
            <w:tcBorders>
              <w:top w:val="nil"/>
              <w:left w:val="nil"/>
              <w:bottom w:val="nil"/>
              <w:right w:val="nil"/>
            </w:tcBorders>
            <w:shd w:val="clear" w:color="auto" w:fill="auto"/>
            <w:noWrap/>
            <w:vAlign w:val="bottom"/>
            <w:hideMark/>
          </w:tcPr>
          <w:p w14:paraId="7598C8A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-0.330</w:t>
            </w:r>
          </w:p>
        </w:tc>
        <w:tc>
          <w:tcPr>
            <w:tcW w:w="291" w:type="pct"/>
            <w:tcBorders>
              <w:top w:val="nil"/>
              <w:left w:val="nil"/>
              <w:bottom w:val="nil"/>
              <w:right w:val="nil"/>
            </w:tcBorders>
            <w:shd w:val="clear" w:color="auto" w:fill="auto"/>
            <w:noWrap/>
            <w:vAlign w:val="bottom"/>
            <w:hideMark/>
          </w:tcPr>
          <w:p w14:paraId="0155B67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-0.290</w:t>
            </w:r>
          </w:p>
        </w:tc>
        <w:tc>
          <w:tcPr>
            <w:tcW w:w="324" w:type="pct"/>
            <w:tcBorders>
              <w:top w:val="nil"/>
              <w:left w:val="nil"/>
              <w:bottom w:val="nil"/>
              <w:right w:val="nil"/>
            </w:tcBorders>
            <w:shd w:val="clear" w:color="auto" w:fill="auto"/>
            <w:noWrap/>
            <w:vAlign w:val="bottom"/>
            <w:hideMark/>
          </w:tcPr>
          <w:p w14:paraId="50467F66"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3B92496B"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7617593F"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433" w:type="pct"/>
            <w:tcBorders>
              <w:top w:val="nil"/>
              <w:left w:val="nil"/>
              <w:bottom w:val="nil"/>
              <w:right w:val="nil"/>
            </w:tcBorders>
            <w:shd w:val="clear" w:color="auto" w:fill="auto"/>
            <w:noWrap/>
            <w:vAlign w:val="bottom"/>
            <w:hideMark/>
          </w:tcPr>
          <w:p w14:paraId="78C7BBB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-0.007*</w:t>
            </w:r>
          </w:p>
        </w:tc>
        <w:tc>
          <w:tcPr>
            <w:tcW w:w="360" w:type="pct"/>
            <w:tcBorders>
              <w:top w:val="nil"/>
              <w:left w:val="nil"/>
              <w:bottom w:val="nil"/>
              <w:right w:val="nil"/>
            </w:tcBorders>
            <w:shd w:val="clear" w:color="auto" w:fill="auto"/>
            <w:noWrap/>
            <w:vAlign w:val="bottom"/>
            <w:hideMark/>
          </w:tcPr>
          <w:p w14:paraId="217A83F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-6.67E-06</w:t>
            </w:r>
          </w:p>
        </w:tc>
        <w:tc>
          <w:tcPr>
            <w:tcW w:w="331" w:type="pct"/>
            <w:tcBorders>
              <w:top w:val="nil"/>
              <w:left w:val="nil"/>
              <w:bottom w:val="nil"/>
              <w:right w:val="nil"/>
            </w:tcBorders>
            <w:shd w:val="clear" w:color="auto" w:fill="auto"/>
            <w:noWrap/>
            <w:vAlign w:val="bottom"/>
            <w:hideMark/>
          </w:tcPr>
          <w:p w14:paraId="7424DAF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0.104*</w:t>
            </w:r>
          </w:p>
        </w:tc>
        <w:tc>
          <w:tcPr>
            <w:tcW w:w="202" w:type="pct"/>
            <w:tcBorders>
              <w:top w:val="nil"/>
              <w:left w:val="nil"/>
              <w:bottom w:val="nil"/>
              <w:right w:val="nil"/>
            </w:tcBorders>
            <w:shd w:val="clear" w:color="auto" w:fill="auto"/>
            <w:noWrap/>
            <w:vAlign w:val="bottom"/>
            <w:hideMark/>
          </w:tcPr>
          <w:p w14:paraId="44F11FD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0.61</w:t>
            </w:r>
          </w:p>
        </w:tc>
      </w:tr>
      <w:tr w:rsidR="009C6557" w:rsidRPr="00AA13C5" w14:paraId="01E7330A" w14:textId="77777777" w:rsidTr="009C6557">
        <w:trPr>
          <w:trHeight w:val="300"/>
        </w:trPr>
        <w:tc>
          <w:tcPr>
            <w:tcW w:w="550" w:type="pct"/>
            <w:tcBorders>
              <w:top w:val="nil"/>
              <w:left w:val="nil"/>
              <w:bottom w:val="nil"/>
              <w:right w:val="nil"/>
            </w:tcBorders>
            <w:shd w:val="clear" w:color="auto" w:fill="auto"/>
            <w:noWrap/>
            <w:vAlign w:val="bottom"/>
            <w:hideMark/>
          </w:tcPr>
          <w:p w14:paraId="613652C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7C12959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700211B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1A6E21C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(0.15)</w:t>
            </w:r>
          </w:p>
        </w:tc>
        <w:tc>
          <w:tcPr>
            <w:tcW w:w="291" w:type="pct"/>
            <w:tcBorders>
              <w:top w:val="nil"/>
              <w:left w:val="nil"/>
              <w:bottom w:val="nil"/>
              <w:right w:val="nil"/>
            </w:tcBorders>
            <w:shd w:val="clear" w:color="auto" w:fill="auto"/>
            <w:noWrap/>
            <w:vAlign w:val="bottom"/>
            <w:hideMark/>
          </w:tcPr>
          <w:p w14:paraId="0E136F3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(0.77)</w:t>
            </w:r>
          </w:p>
        </w:tc>
        <w:tc>
          <w:tcPr>
            <w:tcW w:w="291" w:type="pct"/>
            <w:tcBorders>
              <w:top w:val="nil"/>
              <w:left w:val="nil"/>
              <w:bottom w:val="nil"/>
              <w:right w:val="nil"/>
            </w:tcBorders>
            <w:shd w:val="clear" w:color="auto" w:fill="auto"/>
            <w:noWrap/>
            <w:vAlign w:val="bottom"/>
            <w:hideMark/>
          </w:tcPr>
          <w:p w14:paraId="1A9F791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(0.45)</w:t>
            </w:r>
          </w:p>
        </w:tc>
        <w:tc>
          <w:tcPr>
            <w:tcW w:w="291" w:type="pct"/>
            <w:tcBorders>
              <w:top w:val="nil"/>
              <w:left w:val="nil"/>
              <w:bottom w:val="nil"/>
              <w:right w:val="nil"/>
            </w:tcBorders>
            <w:shd w:val="clear" w:color="auto" w:fill="auto"/>
            <w:noWrap/>
            <w:vAlign w:val="bottom"/>
            <w:hideMark/>
          </w:tcPr>
          <w:p w14:paraId="72F5197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(0.50)</w:t>
            </w:r>
          </w:p>
        </w:tc>
        <w:tc>
          <w:tcPr>
            <w:tcW w:w="324" w:type="pct"/>
            <w:tcBorders>
              <w:top w:val="nil"/>
              <w:left w:val="nil"/>
              <w:bottom w:val="nil"/>
              <w:right w:val="nil"/>
            </w:tcBorders>
            <w:shd w:val="clear" w:color="auto" w:fill="auto"/>
            <w:noWrap/>
            <w:vAlign w:val="bottom"/>
            <w:hideMark/>
          </w:tcPr>
          <w:p w14:paraId="3FDF7161" w14:textId="463482E2"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7A0D6D14"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78" w:type="pct"/>
            <w:tcBorders>
              <w:top w:val="nil"/>
              <w:left w:val="nil"/>
              <w:bottom w:val="nil"/>
              <w:right w:val="nil"/>
            </w:tcBorders>
            <w:shd w:val="clear" w:color="auto" w:fill="auto"/>
            <w:noWrap/>
            <w:vAlign w:val="bottom"/>
            <w:hideMark/>
          </w:tcPr>
          <w:p w14:paraId="701E861C"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433" w:type="pct"/>
            <w:tcBorders>
              <w:top w:val="nil"/>
              <w:left w:val="nil"/>
              <w:bottom w:val="nil"/>
              <w:right w:val="nil"/>
            </w:tcBorders>
            <w:shd w:val="clear" w:color="auto" w:fill="auto"/>
            <w:noWrap/>
            <w:vAlign w:val="bottom"/>
            <w:hideMark/>
          </w:tcPr>
          <w:p w14:paraId="5E0BC51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049543B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31" w:type="pct"/>
            <w:tcBorders>
              <w:top w:val="nil"/>
              <w:left w:val="nil"/>
              <w:bottom w:val="nil"/>
              <w:right w:val="nil"/>
            </w:tcBorders>
            <w:shd w:val="clear" w:color="auto" w:fill="auto"/>
            <w:noWrap/>
            <w:vAlign w:val="bottom"/>
            <w:hideMark/>
          </w:tcPr>
          <w:p w14:paraId="6D52E7E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202" w:type="pct"/>
            <w:tcBorders>
              <w:top w:val="nil"/>
              <w:left w:val="nil"/>
              <w:bottom w:val="nil"/>
              <w:right w:val="nil"/>
            </w:tcBorders>
            <w:shd w:val="clear" w:color="auto" w:fill="auto"/>
            <w:noWrap/>
            <w:vAlign w:val="bottom"/>
            <w:hideMark/>
          </w:tcPr>
          <w:p w14:paraId="2097FD90"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1AD2475A" w14:textId="77777777" w:rsidTr="009C6557">
        <w:trPr>
          <w:trHeight w:val="300"/>
        </w:trPr>
        <w:tc>
          <w:tcPr>
            <w:tcW w:w="550" w:type="pct"/>
            <w:tcBorders>
              <w:top w:val="nil"/>
              <w:left w:val="nil"/>
              <w:bottom w:val="nil"/>
              <w:right w:val="nil"/>
            </w:tcBorders>
            <w:shd w:val="clear" w:color="auto" w:fill="auto"/>
            <w:noWrap/>
            <w:vAlign w:val="bottom"/>
            <w:hideMark/>
          </w:tcPr>
          <w:p w14:paraId="1D9DC32D"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Rice</w:t>
            </w:r>
          </w:p>
        </w:tc>
        <w:tc>
          <w:tcPr>
            <w:tcW w:w="351" w:type="pct"/>
            <w:tcBorders>
              <w:top w:val="nil"/>
              <w:left w:val="nil"/>
              <w:bottom w:val="nil"/>
              <w:right w:val="nil"/>
            </w:tcBorders>
            <w:shd w:val="clear" w:color="auto" w:fill="auto"/>
            <w:noWrap/>
            <w:vAlign w:val="bottom"/>
            <w:hideMark/>
          </w:tcPr>
          <w:p w14:paraId="4855663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9.806*</w:t>
            </w:r>
          </w:p>
        </w:tc>
        <w:tc>
          <w:tcPr>
            <w:tcW w:w="291" w:type="pct"/>
            <w:tcBorders>
              <w:top w:val="nil"/>
              <w:left w:val="nil"/>
              <w:bottom w:val="nil"/>
              <w:right w:val="nil"/>
            </w:tcBorders>
            <w:shd w:val="clear" w:color="auto" w:fill="auto"/>
            <w:noWrap/>
            <w:vAlign w:val="bottom"/>
            <w:hideMark/>
          </w:tcPr>
          <w:p w14:paraId="0F3E7CA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-2.259*</w:t>
            </w:r>
          </w:p>
        </w:tc>
        <w:tc>
          <w:tcPr>
            <w:tcW w:w="360" w:type="pct"/>
            <w:tcBorders>
              <w:top w:val="nil"/>
              <w:left w:val="nil"/>
              <w:bottom w:val="nil"/>
              <w:right w:val="nil"/>
            </w:tcBorders>
            <w:shd w:val="clear" w:color="auto" w:fill="auto"/>
            <w:noWrap/>
            <w:vAlign w:val="bottom"/>
            <w:hideMark/>
          </w:tcPr>
          <w:p w14:paraId="6B401EF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1.45E-15</w:t>
            </w:r>
          </w:p>
        </w:tc>
        <w:tc>
          <w:tcPr>
            <w:tcW w:w="291" w:type="pct"/>
            <w:tcBorders>
              <w:top w:val="nil"/>
              <w:left w:val="nil"/>
              <w:bottom w:val="nil"/>
              <w:right w:val="nil"/>
            </w:tcBorders>
            <w:shd w:val="clear" w:color="auto" w:fill="auto"/>
            <w:noWrap/>
            <w:vAlign w:val="bottom"/>
            <w:hideMark/>
          </w:tcPr>
          <w:p w14:paraId="15F14BA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-2.929*</w:t>
            </w:r>
          </w:p>
        </w:tc>
        <w:tc>
          <w:tcPr>
            <w:tcW w:w="291" w:type="pct"/>
            <w:tcBorders>
              <w:top w:val="nil"/>
              <w:left w:val="nil"/>
              <w:bottom w:val="nil"/>
              <w:right w:val="nil"/>
            </w:tcBorders>
            <w:shd w:val="clear" w:color="auto" w:fill="auto"/>
            <w:noWrap/>
            <w:vAlign w:val="bottom"/>
            <w:hideMark/>
          </w:tcPr>
          <w:p w14:paraId="64EF9EE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-1.191*</w:t>
            </w:r>
          </w:p>
        </w:tc>
        <w:tc>
          <w:tcPr>
            <w:tcW w:w="291" w:type="pct"/>
            <w:tcBorders>
              <w:top w:val="nil"/>
              <w:left w:val="nil"/>
              <w:bottom w:val="nil"/>
              <w:right w:val="nil"/>
            </w:tcBorders>
            <w:shd w:val="clear" w:color="auto" w:fill="auto"/>
            <w:noWrap/>
            <w:vAlign w:val="bottom"/>
            <w:hideMark/>
          </w:tcPr>
          <w:p w14:paraId="57B0EDD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-1.799*</w:t>
            </w:r>
          </w:p>
        </w:tc>
        <w:tc>
          <w:tcPr>
            <w:tcW w:w="324" w:type="pct"/>
            <w:tcBorders>
              <w:top w:val="nil"/>
              <w:left w:val="nil"/>
              <w:bottom w:val="nil"/>
              <w:right w:val="nil"/>
            </w:tcBorders>
            <w:shd w:val="clear" w:color="auto" w:fill="auto"/>
            <w:noWrap/>
            <w:vAlign w:val="bottom"/>
            <w:hideMark/>
          </w:tcPr>
          <w:p w14:paraId="39A07791"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5C17CD3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-0.002</w:t>
            </w:r>
          </w:p>
        </w:tc>
        <w:tc>
          <w:tcPr>
            <w:tcW w:w="578" w:type="pct"/>
            <w:tcBorders>
              <w:top w:val="nil"/>
              <w:left w:val="nil"/>
              <w:bottom w:val="nil"/>
              <w:right w:val="nil"/>
            </w:tcBorders>
            <w:shd w:val="clear" w:color="auto" w:fill="auto"/>
            <w:noWrap/>
            <w:vAlign w:val="bottom"/>
            <w:hideMark/>
          </w:tcPr>
          <w:p w14:paraId="1827B0A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0.012*</w:t>
            </w:r>
          </w:p>
        </w:tc>
        <w:tc>
          <w:tcPr>
            <w:tcW w:w="433" w:type="pct"/>
            <w:tcBorders>
              <w:top w:val="nil"/>
              <w:left w:val="nil"/>
              <w:bottom w:val="nil"/>
              <w:right w:val="nil"/>
            </w:tcBorders>
            <w:shd w:val="clear" w:color="auto" w:fill="auto"/>
            <w:noWrap/>
            <w:vAlign w:val="bottom"/>
            <w:hideMark/>
          </w:tcPr>
          <w:p w14:paraId="45B01CE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-0.003*</w:t>
            </w:r>
          </w:p>
        </w:tc>
        <w:tc>
          <w:tcPr>
            <w:tcW w:w="360" w:type="pct"/>
            <w:tcBorders>
              <w:top w:val="nil"/>
              <w:left w:val="nil"/>
              <w:bottom w:val="nil"/>
              <w:right w:val="nil"/>
            </w:tcBorders>
            <w:shd w:val="clear" w:color="auto" w:fill="auto"/>
            <w:noWrap/>
            <w:vAlign w:val="bottom"/>
            <w:hideMark/>
          </w:tcPr>
          <w:p w14:paraId="1051B2E5"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2948C10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0.031</w:t>
            </w:r>
          </w:p>
        </w:tc>
        <w:tc>
          <w:tcPr>
            <w:tcW w:w="202" w:type="pct"/>
            <w:tcBorders>
              <w:top w:val="nil"/>
              <w:left w:val="nil"/>
              <w:bottom w:val="nil"/>
              <w:right w:val="nil"/>
            </w:tcBorders>
            <w:shd w:val="clear" w:color="auto" w:fill="auto"/>
            <w:noWrap/>
            <w:vAlign w:val="bottom"/>
            <w:hideMark/>
          </w:tcPr>
          <w:p w14:paraId="6721E81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0.52</w:t>
            </w:r>
          </w:p>
        </w:tc>
      </w:tr>
      <w:tr w:rsidR="009C6557" w:rsidRPr="00AA13C5" w14:paraId="39FDFD49" w14:textId="77777777" w:rsidTr="009C6557">
        <w:trPr>
          <w:trHeight w:val="300"/>
        </w:trPr>
        <w:tc>
          <w:tcPr>
            <w:tcW w:w="550" w:type="pct"/>
            <w:tcBorders>
              <w:top w:val="nil"/>
              <w:left w:val="nil"/>
              <w:bottom w:val="nil"/>
              <w:right w:val="nil"/>
            </w:tcBorders>
            <w:shd w:val="clear" w:color="auto" w:fill="auto"/>
            <w:noWrap/>
            <w:vAlign w:val="bottom"/>
            <w:hideMark/>
          </w:tcPr>
          <w:p w14:paraId="1007FE9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1DBFD2B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6303456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0F89ECC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394DC49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777BD26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(0.04)</w:t>
            </w:r>
          </w:p>
        </w:tc>
        <w:tc>
          <w:tcPr>
            <w:tcW w:w="291" w:type="pct"/>
            <w:tcBorders>
              <w:top w:val="nil"/>
              <w:left w:val="nil"/>
              <w:bottom w:val="nil"/>
              <w:right w:val="nil"/>
            </w:tcBorders>
            <w:shd w:val="clear" w:color="auto" w:fill="auto"/>
            <w:noWrap/>
            <w:vAlign w:val="bottom"/>
            <w:hideMark/>
          </w:tcPr>
          <w:p w14:paraId="6444D6A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24" w:type="pct"/>
            <w:tcBorders>
              <w:top w:val="nil"/>
              <w:left w:val="nil"/>
              <w:bottom w:val="nil"/>
              <w:right w:val="nil"/>
            </w:tcBorders>
            <w:shd w:val="clear" w:color="auto" w:fill="auto"/>
            <w:noWrap/>
            <w:vAlign w:val="bottom"/>
            <w:hideMark/>
          </w:tcPr>
          <w:p w14:paraId="3FEB6E8E"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45FD05A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(0.20)</w:t>
            </w:r>
          </w:p>
        </w:tc>
        <w:tc>
          <w:tcPr>
            <w:tcW w:w="578" w:type="pct"/>
            <w:tcBorders>
              <w:top w:val="nil"/>
              <w:left w:val="nil"/>
              <w:bottom w:val="nil"/>
              <w:right w:val="nil"/>
            </w:tcBorders>
            <w:shd w:val="clear" w:color="auto" w:fill="auto"/>
            <w:noWrap/>
            <w:vAlign w:val="bottom"/>
            <w:hideMark/>
          </w:tcPr>
          <w:p w14:paraId="16CF40E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433" w:type="pct"/>
            <w:tcBorders>
              <w:top w:val="nil"/>
              <w:left w:val="nil"/>
              <w:bottom w:val="nil"/>
              <w:right w:val="nil"/>
            </w:tcBorders>
            <w:shd w:val="clear" w:color="auto" w:fill="auto"/>
            <w:noWrap/>
            <w:vAlign w:val="bottom"/>
            <w:hideMark/>
          </w:tcPr>
          <w:p w14:paraId="27FA625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360" w:type="pct"/>
            <w:tcBorders>
              <w:top w:val="nil"/>
              <w:left w:val="nil"/>
              <w:bottom w:val="nil"/>
              <w:right w:val="nil"/>
            </w:tcBorders>
            <w:shd w:val="clear" w:color="auto" w:fill="auto"/>
            <w:noWrap/>
            <w:vAlign w:val="bottom"/>
            <w:hideMark/>
          </w:tcPr>
          <w:p w14:paraId="4B9C98AC"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5199E73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(0.70)</w:t>
            </w:r>
          </w:p>
        </w:tc>
        <w:tc>
          <w:tcPr>
            <w:tcW w:w="202" w:type="pct"/>
            <w:tcBorders>
              <w:top w:val="nil"/>
              <w:left w:val="nil"/>
              <w:bottom w:val="nil"/>
              <w:right w:val="nil"/>
            </w:tcBorders>
            <w:shd w:val="clear" w:color="auto" w:fill="auto"/>
            <w:noWrap/>
            <w:vAlign w:val="bottom"/>
            <w:hideMark/>
          </w:tcPr>
          <w:p w14:paraId="1848C017"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1539DF00" w14:textId="77777777" w:rsidTr="009C6557">
        <w:trPr>
          <w:trHeight w:val="300"/>
        </w:trPr>
        <w:tc>
          <w:tcPr>
            <w:tcW w:w="550" w:type="pct"/>
            <w:tcBorders>
              <w:top w:val="nil"/>
              <w:left w:val="nil"/>
              <w:bottom w:val="nil"/>
              <w:right w:val="nil"/>
            </w:tcBorders>
            <w:shd w:val="clear" w:color="auto" w:fill="auto"/>
            <w:noWrap/>
            <w:vAlign w:val="bottom"/>
            <w:hideMark/>
          </w:tcPr>
          <w:p w14:paraId="5FEAA592"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Fruits</w:t>
            </w:r>
          </w:p>
        </w:tc>
        <w:tc>
          <w:tcPr>
            <w:tcW w:w="351" w:type="pct"/>
            <w:tcBorders>
              <w:top w:val="nil"/>
              <w:left w:val="nil"/>
              <w:bottom w:val="nil"/>
              <w:right w:val="nil"/>
            </w:tcBorders>
            <w:shd w:val="clear" w:color="auto" w:fill="auto"/>
            <w:noWrap/>
            <w:vAlign w:val="bottom"/>
            <w:hideMark/>
          </w:tcPr>
          <w:p w14:paraId="47DEB9E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7.077*</w:t>
            </w:r>
          </w:p>
        </w:tc>
        <w:tc>
          <w:tcPr>
            <w:tcW w:w="291" w:type="pct"/>
            <w:tcBorders>
              <w:top w:val="nil"/>
              <w:left w:val="nil"/>
              <w:bottom w:val="nil"/>
              <w:right w:val="nil"/>
            </w:tcBorders>
            <w:shd w:val="clear" w:color="auto" w:fill="auto"/>
            <w:noWrap/>
            <w:vAlign w:val="bottom"/>
            <w:hideMark/>
          </w:tcPr>
          <w:p w14:paraId="468E303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-0.087</w:t>
            </w:r>
          </w:p>
        </w:tc>
        <w:tc>
          <w:tcPr>
            <w:tcW w:w="360" w:type="pct"/>
            <w:tcBorders>
              <w:top w:val="nil"/>
              <w:left w:val="nil"/>
              <w:bottom w:val="nil"/>
              <w:right w:val="nil"/>
            </w:tcBorders>
            <w:shd w:val="clear" w:color="auto" w:fill="auto"/>
            <w:noWrap/>
            <w:vAlign w:val="bottom"/>
            <w:hideMark/>
          </w:tcPr>
          <w:p w14:paraId="57DCF71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2.011*</w:t>
            </w:r>
          </w:p>
        </w:tc>
        <w:tc>
          <w:tcPr>
            <w:tcW w:w="291" w:type="pct"/>
            <w:tcBorders>
              <w:top w:val="nil"/>
              <w:left w:val="nil"/>
              <w:bottom w:val="nil"/>
              <w:right w:val="nil"/>
            </w:tcBorders>
            <w:shd w:val="clear" w:color="auto" w:fill="auto"/>
            <w:noWrap/>
            <w:vAlign w:val="bottom"/>
            <w:hideMark/>
          </w:tcPr>
          <w:p w14:paraId="52FFF4E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0.100</w:t>
            </w:r>
          </w:p>
        </w:tc>
        <w:tc>
          <w:tcPr>
            <w:tcW w:w="291" w:type="pct"/>
            <w:tcBorders>
              <w:top w:val="nil"/>
              <w:left w:val="nil"/>
              <w:bottom w:val="nil"/>
              <w:right w:val="nil"/>
            </w:tcBorders>
            <w:shd w:val="clear" w:color="auto" w:fill="auto"/>
            <w:noWrap/>
            <w:vAlign w:val="bottom"/>
            <w:hideMark/>
          </w:tcPr>
          <w:p w14:paraId="40637A6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0.108</w:t>
            </w:r>
          </w:p>
        </w:tc>
        <w:tc>
          <w:tcPr>
            <w:tcW w:w="291" w:type="pct"/>
            <w:tcBorders>
              <w:top w:val="nil"/>
              <w:left w:val="nil"/>
              <w:bottom w:val="nil"/>
              <w:right w:val="nil"/>
            </w:tcBorders>
            <w:shd w:val="clear" w:color="auto" w:fill="auto"/>
            <w:noWrap/>
            <w:vAlign w:val="bottom"/>
            <w:hideMark/>
          </w:tcPr>
          <w:p w14:paraId="435B2FC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-0.030</w:t>
            </w:r>
          </w:p>
        </w:tc>
        <w:tc>
          <w:tcPr>
            <w:tcW w:w="324" w:type="pct"/>
            <w:tcBorders>
              <w:top w:val="nil"/>
              <w:left w:val="nil"/>
              <w:bottom w:val="nil"/>
              <w:right w:val="nil"/>
            </w:tcBorders>
            <w:shd w:val="clear" w:color="auto" w:fill="auto"/>
            <w:noWrap/>
            <w:vAlign w:val="bottom"/>
            <w:hideMark/>
          </w:tcPr>
          <w:p w14:paraId="1C45FE1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0.261*</w:t>
            </w:r>
          </w:p>
        </w:tc>
        <w:tc>
          <w:tcPr>
            <w:tcW w:w="348" w:type="pct"/>
            <w:tcBorders>
              <w:top w:val="nil"/>
              <w:left w:val="nil"/>
              <w:bottom w:val="nil"/>
              <w:right w:val="nil"/>
            </w:tcBorders>
            <w:shd w:val="clear" w:color="auto" w:fill="auto"/>
            <w:noWrap/>
            <w:vAlign w:val="bottom"/>
            <w:hideMark/>
          </w:tcPr>
          <w:p w14:paraId="4432067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-0.002*</w:t>
            </w:r>
          </w:p>
        </w:tc>
        <w:tc>
          <w:tcPr>
            <w:tcW w:w="578" w:type="pct"/>
            <w:tcBorders>
              <w:top w:val="nil"/>
              <w:left w:val="nil"/>
              <w:bottom w:val="nil"/>
              <w:right w:val="nil"/>
            </w:tcBorders>
            <w:shd w:val="clear" w:color="auto" w:fill="auto"/>
            <w:noWrap/>
            <w:vAlign w:val="bottom"/>
            <w:hideMark/>
          </w:tcPr>
          <w:p w14:paraId="4E2F911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0.006</w:t>
            </w:r>
          </w:p>
        </w:tc>
        <w:tc>
          <w:tcPr>
            <w:tcW w:w="433" w:type="pct"/>
            <w:tcBorders>
              <w:top w:val="nil"/>
              <w:left w:val="nil"/>
              <w:bottom w:val="nil"/>
              <w:right w:val="nil"/>
            </w:tcBorders>
            <w:shd w:val="clear" w:color="auto" w:fill="auto"/>
            <w:noWrap/>
            <w:vAlign w:val="bottom"/>
            <w:hideMark/>
          </w:tcPr>
          <w:p w14:paraId="11DF367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-0.007*</w:t>
            </w:r>
          </w:p>
        </w:tc>
        <w:tc>
          <w:tcPr>
            <w:tcW w:w="360" w:type="pct"/>
            <w:tcBorders>
              <w:top w:val="nil"/>
              <w:left w:val="nil"/>
              <w:bottom w:val="nil"/>
              <w:right w:val="nil"/>
            </w:tcBorders>
            <w:shd w:val="clear" w:color="auto" w:fill="auto"/>
            <w:noWrap/>
            <w:vAlign w:val="bottom"/>
            <w:hideMark/>
          </w:tcPr>
          <w:p w14:paraId="3B386145"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7CF8743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0.079</w:t>
            </w:r>
          </w:p>
        </w:tc>
        <w:tc>
          <w:tcPr>
            <w:tcW w:w="202" w:type="pct"/>
            <w:tcBorders>
              <w:top w:val="nil"/>
              <w:left w:val="nil"/>
              <w:bottom w:val="nil"/>
              <w:right w:val="nil"/>
            </w:tcBorders>
            <w:shd w:val="clear" w:color="auto" w:fill="auto"/>
            <w:noWrap/>
            <w:vAlign w:val="bottom"/>
            <w:hideMark/>
          </w:tcPr>
          <w:p w14:paraId="628EA41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0.47</w:t>
            </w:r>
          </w:p>
        </w:tc>
      </w:tr>
      <w:tr w:rsidR="009C6557" w:rsidRPr="00AA13C5" w14:paraId="31ABA12F" w14:textId="77777777" w:rsidTr="009C6557">
        <w:trPr>
          <w:trHeight w:val="300"/>
        </w:trPr>
        <w:tc>
          <w:tcPr>
            <w:tcW w:w="550" w:type="pct"/>
            <w:tcBorders>
              <w:top w:val="nil"/>
              <w:left w:val="nil"/>
              <w:bottom w:val="nil"/>
              <w:right w:val="nil"/>
            </w:tcBorders>
            <w:shd w:val="clear" w:color="auto" w:fill="auto"/>
            <w:noWrap/>
            <w:vAlign w:val="bottom"/>
            <w:hideMark/>
          </w:tcPr>
          <w:p w14:paraId="682CB1E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15B1DFE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63E6A95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(0.88)</w:t>
            </w:r>
          </w:p>
        </w:tc>
        <w:tc>
          <w:tcPr>
            <w:tcW w:w="360" w:type="pct"/>
            <w:tcBorders>
              <w:top w:val="nil"/>
              <w:left w:val="nil"/>
              <w:bottom w:val="nil"/>
              <w:right w:val="nil"/>
            </w:tcBorders>
            <w:shd w:val="clear" w:color="auto" w:fill="auto"/>
            <w:noWrap/>
            <w:vAlign w:val="bottom"/>
            <w:hideMark/>
          </w:tcPr>
          <w:p w14:paraId="22FAFF9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122D0CC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(0.86)</w:t>
            </w:r>
          </w:p>
        </w:tc>
        <w:tc>
          <w:tcPr>
            <w:tcW w:w="291" w:type="pct"/>
            <w:tcBorders>
              <w:top w:val="nil"/>
              <w:left w:val="nil"/>
              <w:bottom w:val="nil"/>
              <w:right w:val="nil"/>
            </w:tcBorders>
            <w:shd w:val="clear" w:color="auto" w:fill="auto"/>
            <w:noWrap/>
            <w:vAlign w:val="bottom"/>
            <w:hideMark/>
          </w:tcPr>
          <w:p w14:paraId="65508AA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(0.82)</w:t>
            </w:r>
          </w:p>
        </w:tc>
        <w:tc>
          <w:tcPr>
            <w:tcW w:w="291" w:type="pct"/>
            <w:tcBorders>
              <w:top w:val="nil"/>
              <w:left w:val="nil"/>
              <w:bottom w:val="nil"/>
              <w:right w:val="nil"/>
            </w:tcBorders>
            <w:shd w:val="clear" w:color="auto" w:fill="auto"/>
            <w:noWrap/>
            <w:vAlign w:val="bottom"/>
            <w:hideMark/>
          </w:tcPr>
          <w:p w14:paraId="5DE430B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(0.97)</w:t>
            </w:r>
          </w:p>
        </w:tc>
        <w:tc>
          <w:tcPr>
            <w:tcW w:w="324" w:type="pct"/>
            <w:tcBorders>
              <w:top w:val="nil"/>
              <w:left w:val="nil"/>
              <w:bottom w:val="nil"/>
              <w:right w:val="nil"/>
            </w:tcBorders>
            <w:shd w:val="clear" w:color="auto" w:fill="auto"/>
            <w:noWrap/>
            <w:vAlign w:val="bottom"/>
            <w:hideMark/>
          </w:tcPr>
          <w:p w14:paraId="162E971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348" w:type="pct"/>
            <w:tcBorders>
              <w:top w:val="nil"/>
              <w:left w:val="nil"/>
              <w:bottom w:val="nil"/>
              <w:right w:val="nil"/>
            </w:tcBorders>
            <w:shd w:val="clear" w:color="auto" w:fill="auto"/>
            <w:noWrap/>
            <w:vAlign w:val="bottom"/>
            <w:hideMark/>
          </w:tcPr>
          <w:p w14:paraId="1467B57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578" w:type="pct"/>
            <w:tcBorders>
              <w:top w:val="nil"/>
              <w:left w:val="nil"/>
              <w:bottom w:val="nil"/>
              <w:right w:val="nil"/>
            </w:tcBorders>
            <w:shd w:val="clear" w:color="auto" w:fill="auto"/>
            <w:noWrap/>
            <w:vAlign w:val="bottom"/>
            <w:hideMark/>
          </w:tcPr>
          <w:p w14:paraId="69AA253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(0.57)</w:t>
            </w:r>
          </w:p>
        </w:tc>
        <w:tc>
          <w:tcPr>
            <w:tcW w:w="433" w:type="pct"/>
            <w:tcBorders>
              <w:top w:val="nil"/>
              <w:left w:val="nil"/>
              <w:bottom w:val="nil"/>
              <w:right w:val="nil"/>
            </w:tcBorders>
            <w:shd w:val="clear" w:color="auto" w:fill="auto"/>
            <w:noWrap/>
            <w:vAlign w:val="bottom"/>
            <w:hideMark/>
          </w:tcPr>
          <w:p w14:paraId="3F63BB8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701D00A1"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23AE063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(0.20)</w:t>
            </w:r>
          </w:p>
        </w:tc>
        <w:tc>
          <w:tcPr>
            <w:tcW w:w="202" w:type="pct"/>
            <w:tcBorders>
              <w:top w:val="nil"/>
              <w:left w:val="nil"/>
              <w:bottom w:val="nil"/>
              <w:right w:val="nil"/>
            </w:tcBorders>
            <w:shd w:val="clear" w:color="auto" w:fill="auto"/>
            <w:noWrap/>
            <w:vAlign w:val="bottom"/>
            <w:hideMark/>
          </w:tcPr>
          <w:p w14:paraId="663245C6"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699257FA" w14:textId="77777777" w:rsidTr="009C6557">
        <w:trPr>
          <w:trHeight w:val="300"/>
        </w:trPr>
        <w:tc>
          <w:tcPr>
            <w:tcW w:w="550" w:type="pct"/>
            <w:tcBorders>
              <w:top w:val="nil"/>
              <w:left w:val="nil"/>
              <w:bottom w:val="nil"/>
              <w:right w:val="nil"/>
            </w:tcBorders>
            <w:shd w:val="clear" w:color="auto" w:fill="auto"/>
            <w:noWrap/>
            <w:vAlign w:val="bottom"/>
            <w:hideMark/>
          </w:tcPr>
          <w:p w14:paraId="20536344"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Vegetables</w:t>
            </w:r>
          </w:p>
        </w:tc>
        <w:tc>
          <w:tcPr>
            <w:tcW w:w="351" w:type="pct"/>
            <w:tcBorders>
              <w:top w:val="nil"/>
              <w:left w:val="nil"/>
              <w:bottom w:val="nil"/>
              <w:right w:val="nil"/>
            </w:tcBorders>
            <w:shd w:val="clear" w:color="auto" w:fill="auto"/>
            <w:noWrap/>
            <w:vAlign w:val="bottom"/>
            <w:hideMark/>
          </w:tcPr>
          <w:p w14:paraId="3A13DD5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6.392*</w:t>
            </w:r>
          </w:p>
        </w:tc>
        <w:tc>
          <w:tcPr>
            <w:tcW w:w="291" w:type="pct"/>
            <w:tcBorders>
              <w:top w:val="nil"/>
              <w:left w:val="nil"/>
              <w:bottom w:val="nil"/>
              <w:right w:val="nil"/>
            </w:tcBorders>
            <w:shd w:val="clear" w:color="auto" w:fill="auto"/>
            <w:noWrap/>
            <w:vAlign w:val="bottom"/>
            <w:hideMark/>
          </w:tcPr>
          <w:p w14:paraId="271FA1A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-0.617</w:t>
            </w:r>
          </w:p>
        </w:tc>
        <w:tc>
          <w:tcPr>
            <w:tcW w:w="360" w:type="pct"/>
            <w:tcBorders>
              <w:top w:val="nil"/>
              <w:left w:val="nil"/>
              <w:bottom w:val="nil"/>
              <w:right w:val="nil"/>
            </w:tcBorders>
            <w:shd w:val="clear" w:color="auto" w:fill="auto"/>
            <w:noWrap/>
            <w:vAlign w:val="bottom"/>
            <w:hideMark/>
          </w:tcPr>
          <w:p w14:paraId="038898D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0.685*</w:t>
            </w:r>
          </w:p>
        </w:tc>
        <w:tc>
          <w:tcPr>
            <w:tcW w:w="291" w:type="pct"/>
            <w:tcBorders>
              <w:top w:val="nil"/>
              <w:left w:val="nil"/>
              <w:bottom w:val="nil"/>
              <w:right w:val="nil"/>
            </w:tcBorders>
            <w:shd w:val="clear" w:color="auto" w:fill="auto"/>
            <w:noWrap/>
            <w:vAlign w:val="bottom"/>
            <w:hideMark/>
          </w:tcPr>
          <w:p w14:paraId="2A5B896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-0.038</w:t>
            </w:r>
          </w:p>
        </w:tc>
        <w:tc>
          <w:tcPr>
            <w:tcW w:w="291" w:type="pct"/>
            <w:tcBorders>
              <w:top w:val="nil"/>
              <w:left w:val="nil"/>
              <w:bottom w:val="nil"/>
              <w:right w:val="nil"/>
            </w:tcBorders>
            <w:shd w:val="clear" w:color="auto" w:fill="auto"/>
            <w:noWrap/>
            <w:vAlign w:val="bottom"/>
            <w:hideMark/>
          </w:tcPr>
          <w:p w14:paraId="14B226F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0.537</w:t>
            </w:r>
          </w:p>
        </w:tc>
        <w:tc>
          <w:tcPr>
            <w:tcW w:w="291" w:type="pct"/>
            <w:tcBorders>
              <w:top w:val="nil"/>
              <w:left w:val="nil"/>
              <w:bottom w:val="nil"/>
              <w:right w:val="nil"/>
            </w:tcBorders>
            <w:shd w:val="clear" w:color="auto" w:fill="auto"/>
            <w:noWrap/>
            <w:vAlign w:val="bottom"/>
            <w:hideMark/>
          </w:tcPr>
          <w:p w14:paraId="118D3AE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-0.547</w:t>
            </w:r>
          </w:p>
        </w:tc>
        <w:tc>
          <w:tcPr>
            <w:tcW w:w="324" w:type="pct"/>
            <w:tcBorders>
              <w:top w:val="nil"/>
              <w:left w:val="nil"/>
              <w:bottom w:val="nil"/>
              <w:right w:val="nil"/>
            </w:tcBorders>
            <w:shd w:val="clear" w:color="auto" w:fill="auto"/>
            <w:noWrap/>
            <w:vAlign w:val="bottom"/>
            <w:hideMark/>
          </w:tcPr>
          <w:p w14:paraId="7218943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33FAF0F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-0.001</w:t>
            </w:r>
          </w:p>
        </w:tc>
        <w:tc>
          <w:tcPr>
            <w:tcW w:w="578" w:type="pct"/>
            <w:tcBorders>
              <w:top w:val="nil"/>
              <w:left w:val="nil"/>
              <w:bottom w:val="nil"/>
              <w:right w:val="nil"/>
            </w:tcBorders>
            <w:shd w:val="clear" w:color="auto" w:fill="auto"/>
            <w:noWrap/>
            <w:vAlign w:val="bottom"/>
            <w:hideMark/>
          </w:tcPr>
          <w:p w14:paraId="3CFA7491"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433" w:type="pct"/>
            <w:tcBorders>
              <w:top w:val="nil"/>
              <w:left w:val="nil"/>
              <w:bottom w:val="nil"/>
              <w:right w:val="nil"/>
            </w:tcBorders>
            <w:shd w:val="clear" w:color="auto" w:fill="auto"/>
            <w:noWrap/>
            <w:vAlign w:val="bottom"/>
            <w:hideMark/>
          </w:tcPr>
          <w:p w14:paraId="6F56B3C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-0.003*</w:t>
            </w:r>
          </w:p>
        </w:tc>
        <w:tc>
          <w:tcPr>
            <w:tcW w:w="360" w:type="pct"/>
            <w:tcBorders>
              <w:top w:val="nil"/>
              <w:left w:val="nil"/>
              <w:bottom w:val="nil"/>
              <w:right w:val="nil"/>
            </w:tcBorders>
            <w:shd w:val="clear" w:color="auto" w:fill="auto"/>
            <w:noWrap/>
            <w:vAlign w:val="bottom"/>
            <w:hideMark/>
          </w:tcPr>
          <w:p w14:paraId="6C3C59C5"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624CD17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-0.053</w:t>
            </w:r>
          </w:p>
        </w:tc>
        <w:tc>
          <w:tcPr>
            <w:tcW w:w="202" w:type="pct"/>
            <w:tcBorders>
              <w:top w:val="nil"/>
              <w:left w:val="nil"/>
              <w:bottom w:val="nil"/>
              <w:right w:val="nil"/>
            </w:tcBorders>
            <w:shd w:val="clear" w:color="auto" w:fill="auto"/>
            <w:noWrap/>
            <w:vAlign w:val="bottom"/>
            <w:hideMark/>
          </w:tcPr>
          <w:p w14:paraId="380D195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0.57</w:t>
            </w:r>
          </w:p>
        </w:tc>
      </w:tr>
      <w:tr w:rsidR="009C6557" w:rsidRPr="00AA13C5" w14:paraId="28C8684C" w14:textId="77777777" w:rsidTr="009C6557">
        <w:trPr>
          <w:trHeight w:val="300"/>
        </w:trPr>
        <w:tc>
          <w:tcPr>
            <w:tcW w:w="550" w:type="pct"/>
            <w:tcBorders>
              <w:top w:val="nil"/>
              <w:left w:val="nil"/>
              <w:bottom w:val="nil"/>
              <w:right w:val="nil"/>
            </w:tcBorders>
            <w:shd w:val="clear" w:color="auto" w:fill="auto"/>
            <w:noWrap/>
            <w:vAlign w:val="bottom"/>
            <w:hideMark/>
          </w:tcPr>
          <w:p w14:paraId="2E45FA32"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4D9C2AF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7B29985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(0.07)</w:t>
            </w:r>
          </w:p>
        </w:tc>
        <w:tc>
          <w:tcPr>
            <w:tcW w:w="360" w:type="pct"/>
            <w:tcBorders>
              <w:top w:val="nil"/>
              <w:left w:val="nil"/>
              <w:bottom w:val="nil"/>
              <w:right w:val="nil"/>
            </w:tcBorders>
            <w:shd w:val="clear" w:color="auto" w:fill="auto"/>
            <w:noWrap/>
            <w:vAlign w:val="bottom"/>
            <w:hideMark/>
          </w:tcPr>
          <w:p w14:paraId="05C6A53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(0.05)</w:t>
            </w:r>
          </w:p>
        </w:tc>
        <w:tc>
          <w:tcPr>
            <w:tcW w:w="291" w:type="pct"/>
            <w:tcBorders>
              <w:top w:val="nil"/>
              <w:left w:val="nil"/>
              <w:bottom w:val="nil"/>
              <w:right w:val="nil"/>
            </w:tcBorders>
            <w:shd w:val="clear" w:color="auto" w:fill="auto"/>
            <w:noWrap/>
            <w:vAlign w:val="bottom"/>
            <w:hideMark/>
          </w:tcPr>
          <w:p w14:paraId="30BDE86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(0.91)</w:t>
            </w:r>
          </w:p>
        </w:tc>
        <w:tc>
          <w:tcPr>
            <w:tcW w:w="291" w:type="pct"/>
            <w:tcBorders>
              <w:top w:val="nil"/>
              <w:left w:val="nil"/>
              <w:bottom w:val="nil"/>
              <w:right w:val="nil"/>
            </w:tcBorders>
            <w:shd w:val="clear" w:color="auto" w:fill="auto"/>
            <w:noWrap/>
            <w:vAlign w:val="bottom"/>
            <w:hideMark/>
          </w:tcPr>
          <w:p w14:paraId="0089B00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(0.07)</w:t>
            </w:r>
          </w:p>
        </w:tc>
        <w:tc>
          <w:tcPr>
            <w:tcW w:w="291" w:type="pct"/>
            <w:tcBorders>
              <w:top w:val="nil"/>
              <w:left w:val="nil"/>
              <w:bottom w:val="nil"/>
              <w:right w:val="nil"/>
            </w:tcBorders>
            <w:shd w:val="clear" w:color="auto" w:fill="auto"/>
            <w:noWrap/>
            <w:vAlign w:val="bottom"/>
            <w:hideMark/>
          </w:tcPr>
          <w:p w14:paraId="3D33CD7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(0.07)</w:t>
            </w:r>
          </w:p>
        </w:tc>
        <w:tc>
          <w:tcPr>
            <w:tcW w:w="324" w:type="pct"/>
            <w:tcBorders>
              <w:top w:val="nil"/>
              <w:left w:val="nil"/>
              <w:bottom w:val="nil"/>
              <w:right w:val="nil"/>
            </w:tcBorders>
            <w:shd w:val="clear" w:color="auto" w:fill="auto"/>
            <w:noWrap/>
            <w:vAlign w:val="bottom"/>
            <w:hideMark/>
          </w:tcPr>
          <w:p w14:paraId="075F54C3"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6F4370B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(0.14)</w:t>
            </w:r>
          </w:p>
        </w:tc>
        <w:tc>
          <w:tcPr>
            <w:tcW w:w="578" w:type="pct"/>
            <w:tcBorders>
              <w:top w:val="nil"/>
              <w:left w:val="nil"/>
              <w:bottom w:val="nil"/>
              <w:right w:val="nil"/>
            </w:tcBorders>
            <w:shd w:val="clear" w:color="auto" w:fill="auto"/>
            <w:noWrap/>
            <w:vAlign w:val="bottom"/>
            <w:hideMark/>
          </w:tcPr>
          <w:p w14:paraId="09470474"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433" w:type="pct"/>
            <w:tcBorders>
              <w:top w:val="nil"/>
              <w:left w:val="nil"/>
              <w:bottom w:val="nil"/>
              <w:right w:val="nil"/>
            </w:tcBorders>
            <w:shd w:val="clear" w:color="auto" w:fill="auto"/>
            <w:noWrap/>
            <w:vAlign w:val="bottom"/>
            <w:hideMark/>
          </w:tcPr>
          <w:p w14:paraId="04829B0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21812612"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729E368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(0.09)</w:t>
            </w:r>
          </w:p>
        </w:tc>
        <w:tc>
          <w:tcPr>
            <w:tcW w:w="202" w:type="pct"/>
            <w:tcBorders>
              <w:top w:val="nil"/>
              <w:left w:val="nil"/>
              <w:bottom w:val="nil"/>
              <w:right w:val="nil"/>
            </w:tcBorders>
            <w:shd w:val="clear" w:color="auto" w:fill="auto"/>
            <w:noWrap/>
            <w:vAlign w:val="bottom"/>
            <w:hideMark/>
          </w:tcPr>
          <w:p w14:paraId="3AA00ABB"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3FE93D04" w14:textId="77777777" w:rsidTr="009C6557">
        <w:trPr>
          <w:trHeight w:val="300"/>
        </w:trPr>
        <w:tc>
          <w:tcPr>
            <w:tcW w:w="550" w:type="pct"/>
            <w:tcBorders>
              <w:top w:val="nil"/>
              <w:left w:val="nil"/>
              <w:bottom w:val="nil"/>
              <w:right w:val="nil"/>
            </w:tcBorders>
            <w:shd w:val="clear" w:color="auto" w:fill="auto"/>
            <w:noWrap/>
            <w:vAlign w:val="bottom"/>
            <w:hideMark/>
          </w:tcPr>
          <w:p w14:paraId="2B560693"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Other broadacre</w:t>
            </w:r>
          </w:p>
        </w:tc>
        <w:tc>
          <w:tcPr>
            <w:tcW w:w="351" w:type="pct"/>
            <w:tcBorders>
              <w:top w:val="nil"/>
              <w:left w:val="nil"/>
              <w:bottom w:val="nil"/>
              <w:right w:val="nil"/>
            </w:tcBorders>
            <w:shd w:val="clear" w:color="auto" w:fill="auto"/>
            <w:noWrap/>
            <w:vAlign w:val="bottom"/>
            <w:hideMark/>
          </w:tcPr>
          <w:p w14:paraId="1E46FC8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1.054</w:t>
            </w:r>
          </w:p>
        </w:tc>
        <w:tc>
          <w:tcPr>
            <w:tcW w:w="291" w:type="pct"/>
            <w:tcBorders>
              <w:top w:val="nil"/>
              <w:left w:val="nil"/>
              <w:bottom w:val="nil"/>
              <w:right w:val="nil"/>
            </w:tcBorders>
            <w:shd w:val="clear" w:color="auto" w:fill="auto"/>
            <w:noWrap/>
            <w:vAlign w:val="bottom"/>
            <w:hideMark/>
          </w:tcPr>
          <w:p w14:paraId="2451EF8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-1.301*</w:t>
            </w:r>
          </w:p>
        </w:tc>
        <w:tc>
          <w:tcPr>
            <w:tcW w:w="360" w:type="pct"/>
            <w:tcBorders>
              <w:top w:val="nil"/>
              <w:left w:val="nil"/>
              <w:bottom w:val="nil"/>
              <w:right w:val="nil"/>
            </w:tcBorders>
            <w:shd w:val="clear" w:color="auto" w:fill="auto"/>
            <w:noWrap/>
            <w:vAlign w:val="bottom"/>
            <w:hideMark/>
          </w:tcPr>
          <w:p w14:paraId="765EE1E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-0.647</w:t>
            </w:r>
          </w:p>
        </w:tc>
        <w:tc>
          <w:tcPr>
            <w:tcW w:w="291" w:type="pct"/>
            <w:tcBorders>
              <w:top w:val="nil"/>
              <w:left w:val="nil"/>
              <w:bottom w:val="nil"/>
              <w:right w:val="nil"/>
            </w:tcBorders>
            <w:shd w:val="clear" w:color="auto" w:fill="auto"/>
            <w:noWrap/>
            <w:vAlign w:val="bottom"/>
            <w:hideMark/>
          </w:tcPr>
          <w:p w14:paraId="310CA51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-1.214*</w:t>
            </w:r>
          </w:p>
        </w:tc>
        <w:tc>
          <w:tcPr>
            <w:tcW w:w="291" w:type="pct"/>
            <w:tcBorders>
              <w:top w:val="nil"/>
              <w:left w:val="nil"/>
              <w:bottom w:val="nil"/>
              <w:right w:val="nil"/>
            </w:tcBorders>
            <w:shd w:val="clear" w:color="auto" w:fill="auto"/>
            <w:noWrap/>
            <w:vAlign w:val="bottom"/>
            <w:hideMark/>
          </w:tcPr>
          <w:p w14:paraId="4D27603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-1.590*</w:t>
            </w:r>
          </w:p>
        </w:tc>
        <w:tc>
          <w:tcPr>
            <w:tcW w:w="291" w:type="pct"/>
            <w:tcBorders>
              <w:top w:val="nil"/>
              <w:left w:val="nil"/>
              <w:bottom w:val="nil"/>
              <w:right w:val="nil"/>
            </w:tcBorders>
            <w:shd w:val="clear" w:color="auto" w:fill="auto"/>
            <w:noWrap/>
            <w:vAlign w:val="bottom"/>
            <w:hideMark/>
          </w:tcPr>
          <w:p w14:paraId="7AA3028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-1.352*</w:t>
            </w:r>
          </w:p>
        </w:tc>
        <w:tc>
          <w:tcPr>
            <w:tcW w:w="324" w:type="pct"/>
            <w:tcBorders>
              <w:top w:val="nil"/>
              <w:left w:val="nil"/>
              <w:bottom w:val="nil"/>
              <w:right w:val="nil"/>
            </w:tcBorders>
            <w:shd w:val="clear" w:color="auto" w:fill="auto"/>
            <w:noWrap/>
            <w:vAlign w:val="bottom"/>
            <w:hideMark/>
          </w:tcPr>
          <w:p w14:paraId="5AA5127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09C25133"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7EB1CF9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0.028*</w:t>
            </w:r>
          </w:p>
        </w:tc>
        <w:tc>
          <w:tcPr>
            <w:tcW w:w="433" w:type="pct"/>
            <w:tcBorders>
              <w:top w:val="nil"/>
              <w:left w:val="nil"/>
              <w:bottom w:val="nil"/>
              <w:right w:val="nil"/>
            </w:tcBorders>
            <w:shd w:val="clear" w:color="auto" w:fill="auto"/>
            <w:noWrap/>
            <w:vAlign w:val="bottom"/>
            <w:hideMark/>
          </w:tcPr>
          <w:p w14:paraId="0674D6CE"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60" w:type="pct"/>
            <w:tcBorders>
              <w:top w:val="nil"/>
              <w:left w:val="nil"/>
              <w:bottom w:val="nil"/>
              <w:right w:val="nil"/>
            </w:tcBorders>
            <w:shd w:val="clear" w:color="auto" w:fill="auto"/>
            <w:noWrap/>
            <w:vAlign w:val="bottom"/>
            <w:hideMark/>
          </w:tcPr>
          <w:p w14:paraId="4B614A5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-9.63E-06</w:t>
            </w:r>
          </w:p>
        </w:tc>
        <w:tc>
          <w:tcPr>
            <w:tcW w:w="331" w:type="pct"/>
            <w:tcBorders>
              <w:top w:val="nil"/>
              <w:left w:val="nil"/>
              <w:bottom w:val="nil"/>
              <w:right w:val="nil"/>
            </w:tcBorders>
            <w:shd w:val="clear" w:color="auto" w:fill="auto"/>
            <w:noWrap/>
            <w:vAlign w:val="bottom"/>
            <w:hideMark/>
          </w:tcPr>
          <w:p w14:paraId="6E6CE91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-0.171*</w:t>
            </w:r>
          </w:p>
        </w:tc>
        <w:tc>
          <w:tcPr>
            <w:tcW w:w="202" w:type="pct"/>
            <w:tcBorders>
              <w:top w:val="nil"/>
              <w:left w:val="nil"/>
              <w:bottom w:val="nil"/>
              <w:right w:val="nil"/>
            </w:tcBorders>
            <w:shd w:val="clear" w:color="auto" w:fill="auto"/>
            <w:noWrap/>
            <w:vAlign w:val="bottom"/>
            <w:hideMark/>
          </w:tcPr>
          <w:p w14:paraId="6336946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0.24</w:t>
            </w:r>
          </w:p>
        </w:tc>
      </w:tr>
      <w:tr w:rsidR="009C6557" w:rsidRPr="00AA13C5" w14:paraId="41B8EDCD" w14:textId="77777777" w:rsidTr="009C6557">
        <w:trPr>
          <w:trHeight w:val="300"/>
        </w:trPr>
        <w:tc>
          <w:tcPr>
            <w:tcW w:w="550" w:type="pct"/>
            <w:tcBorders>
              <w:top w:val="nil"/>
              <w:left w:val="nil"/>
              <w:bottom w:val="nil"/>
              <w:right w:val="nil"/>
            </w:tcBorders>
            <w:shd w:val="clear" w:color="auto" w:fill="auto"/>
            <w:noWrap/>
            <w:vAlign w:val="bottom"/>
            <w:hideMark/>
          </w:tcPr>
          <w:p w14:paraId="71D6A25C"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521F907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(0.10)</w:t>
            </w:r>
          </w:p>
        </w:tc>
        <w:tc>
          <w:tcPr>
            <w:tcW w:w="291" w:type="pct"/>
            <w:tcBorders>
              <w:top w:val="nil"/>
              <w:left w:val="nil"/>
              <w:bottom w:val="nil"/>
              <w:right w:val="nil"/>
            </w:tcBorders>
            <w:shd w:val="clear" w:color="auto" w:fill="auto"/>
            <w:noWrap/>
            <w:vAlign w:val="bottom"/>
            <w:hideMark/>
          </w:tcPr>
          <w:p w14:paraId="1FF523F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1A72215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(0.09)</w:t>
            </w:r>
          </w:p>
        </w:tc>
        <w:tc>
          <w:tcPr>
            <w:tcW w:w="291" w:type="pct"/>
            <w:tcBorders>
              <w:top w:val="nil"/>
              <w:left w:val="nil"/>
              <w:bottom w:val="nil"/>
              <w:right w:val="nil"/>
            </w:tcBorders>
            <w:shd w:val="clear" w:color="auto" w:fill="auto"/>
            <w:noWrap/>
            <w:vAlign w:val="bottom"/>
            <w:hideMark/>
          </w:tcPr>
          <w:p w14:paraId="2776A3B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0D73361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17EDDF7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24" w:type="pct"/>
            <w:tcBorders>
              <w:top w:val="nil"/>
              <w:left w:val="nil"/>
              <w:bottom w:val="nil"/>
              <w:right w:val="nil"/>
            </w:tcBorders>
            <w:shd w:val="clear" w:color="auto" w:fill="auto"/>
            <w:noWrap/>
            <w:vAlign w:val="bottom"/>
            <w:hideMark/>
          </w:tcPr>
          <w:p w14:paraId="1BA21E3D" w14:textId="678DF649"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356ECD5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578" w:type="pct"/>
            <w:tcBorders>
              <w:top w:val="nil"/>
              <w:left w:val="nil"/>
              <w:bottom w:val="nil"/>
              <w:right w:val="nil"/>
            </w:tcBorders>
            <w:shd w:val="clear" w:color="auto" w:fill="auto"/>
            <w:noWrap/>
            <w:vAlign w:val="bottom"/>
            <w:hideMark/>
          </w:tcPr>
          <w:p w14:paraId="76C98CB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433" w:type="pct"/>
            <w:tcBorders>
              <w:top w:val="nil"/>
              <w:left w:val="nil"/>
              <w:bottom w:val="nil"/>
              <w:right w:val="nil"/>
            </w:tcBorders>
            <w:shd w:val="clear" w:color="auto" w:fill="auto"/>
            <w:noWrap/>
            <w:vAlign w:val="bottom"/>
            <w:hideMark/>
          </w:tcPr>
          <w:p w14:paraId="2D28A5E5"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60" w:type="pct"/>
            <w:tcBorders>
              <w:top w:val="nil"/>
              <w:left w:val="nil"/>
              <w:bottom w:val="nil"/>
              <w:right w:val="nil"/>
            </w:tcBorders>
            <w:shd w:val="clear" w:color="auto" w:fill="auto"/>
            <w:noWrap/>
            <w:vAlign w:val="bottom"/>
            <w:hideMark/>
          </w:tcPr>
          <w:p w14:paraId="0B71127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31" w:type="pct"/>
            <w:tcBorders>
              <w:top w:val="nil"/>
              <w:left w:val="nil"/>
              <w:bottom w:val="nil"/>
              <w:right w:val="nil"/>
            </w:tcBorders>
            <w:shd w:val="clear" w:color="auto" w:fill="auto"/>
            <w:noWrap/>
            <w:vAlign w:val="bottom"/>
            <w:hideMark/>
          </w:tcPr>
          <w:p w14:paraId="0BDD412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02" w:type="pct"/>
            <w:tcBorders>
              <w:top w:val="nil"/>
              <w:left w:val="nil"/>
              <w:bottom w:val="nil"/>
              <w:right w:val="nil"/>
            </w:tcBorders>
            <w:shd w:val="clear" w:color="auto" w:fill="auto"/>
            <w:noWrap/>
            <w:vAlign w:val="bottom"/>
            <w:hideMark/>
          </w:tcPr>
          <w:p w14:paraId="42188527"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3FED14AF" w14:textId="77777777" w:rsidTr="009C6557">
        <w:trPr>
          <w:trHeight w:val="300"/>
        </w:trPr>
        <w:tc>
          <w:tcPr>
            <w:tcW w:w="550" w:type="pct"/>
            <w:tcBorders>
              <w:top w:val="nil"/>
              <w:left w:val="nil"/>
              <w:bottom w:val="nil"/>
              <w:right w:val="nil"/>
            </w:tcBorders>
            <w:shd w:val="clear" w:color="auto" w:fill="auto"/>
            <w:noWrap/>
            <w:vAlign w:val="bottom"/>
            <w:hideMark/>
          </w:tcPr>
          <w:p w14:paraId="6E87B9FF"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Other cereals</w:t>
            </w:r>
          </w:p>
        </w:tc>
        <w:tc>
          <w:tcPr>
            <w:tcW w:w="351" w:type="pct"/>
            <w:tcBorders>
              <w:top w:val="nil"/>
              <w:left w:val="nil"/>
              <w:bottom w:val="nil"/>
              <w:right w:val="nil"/>
            </w:tcBorders>
            <w:shd w:val="clear" w:color="auto" w:fill="auto"/>
            <w:noWrap/>
            <w:vAlign w:val="bottom"/>
            <w:hideMark/>
          </w:tcPr>
          <w:p w14:paraId="67F7546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3.924*</w:t>
            </w:r>
          </w:p>
        </w:tc>
        <w:tc>
          <w:tcPr>
            <w:tcW w:w="291" w:type="pct"/>
            <w:tcBorders>
              <w:top w:val="nil"/>
              <w:left w:val="nil"/>
              <w:bottom w:val="nil"/>
              <w:right w:val="nil"/>
            </w:tcBorders>
            <w:shd w:val="clear" w:color="auto" w:fill="auto"/>
            <w:noWrap/>
            <w:vAlign w:val="bottom"/>
            <w:hideMark/>
          </w:tcPr>
          <w:p w14:paraId="166D316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-1.148*</w:t>
            </w:r>
          </w:p>
        </w:tc>
        <w:tc>
          <w:tcPr>
            <w:tcW w:w="360" w:type="pct"/>
            <w:tcBorders>
              <w:top w:val="nil"/>
              <w:left w:val="nil"/>
              <w:bottom w:val="nil"/>
              <w:right w:val="nil"/>
            </w:tcBorders>
            <w:shd w:val="clear" w:color="auto" w:fill="auto"/>
            <w:noWrap/>
            <w:vAlign w:val="bottom"/>
            <w:hideMark/>
          </w:tcPr>
          <w:p w14:paraId="760D3BA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-1.719*</w:t>
            </w:r>
          </w:p>
        </w:tc>
        <w:tc>
          <w:tcPr>
            <w:tcW w:w="291" w:type="pct"/>
            <w:tcBorders>
              <w:top w:val="nil"/>
              <w:left w:val="nil"/>
              <w:bottom w:val="nil"/>
              <w:right w:val="nil"/>
            </w:tcBorders>
            <w:shd w:val="clear" w:color="auto" w:fill="auto"/>
            <w:noWrap/>
            <w:vAlign w:val="bottom"/>
            <w:hideMark/>
          </w:tcPr>
          <w:p w14:paraId="74B6131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-1.068*</w:t>
            </w:r>
          </w:p>
        </w:tc>
        <w:tc>
          <w:tcPr>
            <w:tcW w:w="291" w:type="pct"/>
            <w:tcBorders>
              <w:top w:val="nil"/>
              <w:left w:val="nil"/>
              <w:bottom w:val="nil"/>
              <w:right w:val="nil"/>
            </w:tcBorders>
            <w:shd w:val="clear" w:color="auto" w:fill="auto"/>
            <w:noWrap/>
            <w:vAlign w:val="bottom"/>
            <w:hideMark/>
          </w:tcPr>
          <w:p w14:paraId="0808283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-1.627*</w:t>
            </w:r>
          </w:p>
        </w:tc>
        <w:tc>
          <w:tcPr>
            <w:tcW w:w="291" w:type="pct"/>
            <w:tcBorders>
              <w:top w:val="nil"/>
              <w:left w:val="nil"/>
              <w:bottom w:val="nil"/>
              <w:right w:val="nil"/>
            </w:tcBorders>
            <w:shd w:val="clear" w:color="auto" w:fill="auto"/>
            <w:noWrap/>
            <w:vAlign w:val="bottom"/>
            <w:hideMark/>
          </w:tcPr>
          <w:p w14:paraId="3BFB700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-1.363*</w:t>
            </w:r>
          </w:p>
        </w:tc>
        <w:tc>
          <w:tcPr>
            <w:tcW w:w="324" w:type="pct"/>
            <w:tcBorders>
              <w:top w:val="nil"/>
              <w:left w:val="nil"/>
              <w:bottom w:val="nil"/>
              <w:right w:val="nil"/>
            </w:tcBorders>
            <w:shd w:val="clear" w:color="auto" w:fill="auto"/>
            <w:noWrap/>
            <w:vAlign w:val="bottom"/>
            <w:hideMark/>
          </w:tcPr>
          <w:p w14:paraId="38051F79"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37952C84"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-0.001*</w:t>
            </w:r>
          </w:p>
        </w:tc>
        <w:tc>
          <w:tcPr>
            <w:tcW w:w="578" w:type="pct"/>
            <w:tcBorders>
              <w:top w:val="nil"/>
              <w:left w:val="nil"/>
              <w:bottom w:val="nil"/>
              <w:right w:val="nil"/>
            </w:tcBorders>
            <w:shd w:val="clear" w:color="auto" w:fill="auto"/>
            <w:noWrap/>
            <w:vAlign w:val="bottom"/>
            <w:hideMark/>
          </w:tcPr>
          <w:p w14:paraId="70D98956"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433" w:type="pct"/>
            <w:tcBorders>
              <w:top w:val="nil"/>
              <w:left w:val="nil"/>
              <w:bottom w:val="nil"/>
              <w:right w:val="nil"/>
            </w:tcBorders>
            <w:shd w:val="clear" w:color="auto" w:fill="auto"/>
            <w:noWrap/>
            <w:vAlign w:val="bottom"/>
            <w:hideMark/>
          </w:tcPr>
          <w:p w14:paraId="647689B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-0.001*</w:t>
            </w:r>
          </w:p>
        </w:tc>
        <w:tc>
          <w:tcPr>
            <w:tcW w:w="360" w:type="pct"/>
            <w:tcBorders>
              <w:top w:val="nil"/>
              <w:left w:val="nil"/>
              <w:bottom w:val="nil"/>
              <w:right w:val="nil"/>
            </w:tcBorders>
            <w:shd w:val="clear" w:color="auto" w:fill="auto"/>
            <w:noWrap/>
            <w:vAlign w:val="bottom"/>
            <w:hideMark/>
          </w:tcPr>
          <w:p w14:paraId="328E6430"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1BA6411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0.004</w:t>
            </w:r>
          </w:p>
        </w:tc>
        <w:tc>
          <w:tcPr>
            <w:tcW w:w="202" w:type="pct"/>
            <w:tcBorders>
              <w:top w:val="nil"/>
              <w:left w:val="nil"/>
              <w:bottom w:val="nil"/>
              <w:right w:val="nil"/>
            </w:tcBorders>
            <w:shd w:val="clear" w:color="auto" w:fill="auto"/>
            <w:noWrap/>
            <w:vAlign w:val="bottom"/>
            <w:hideMark/>
          </w:tcPr>
          <w:p w14:paraId="541B8C9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0.60</w:t>
            </w:r>
          </w:p>
        </w:tc>
      </w:tr>
      <w:tr w:rsidR="009C6557" w:rsidRPr="00AA13C5" w14:paraId="5F5BF732" w14:textId="77777777" w:rsidTr="009C6557">
        <w:trPr>
          <w:trHeight w:val="300"/>
        </w:trPr>
        <w:tc>
          <w:tcPr>
            <w:tcW w:w="550" w:type="pct"/>
            <w:tcBorders>
              <w:top w:val="nil"/>
              <w:left w:val="nil"/>
              <w:bottom w:val="nil"/>
              <w:right w:val="nil"/>
            </w:tcBorders>
            <w:shd w:val="clear" w:color="auto" w:fill="auto"/>
            <w:noWrap/>
            <w:vAlign w:val="bottom"/>
            <w:hideMark/>
          </w:tcPr>
          <w:p w14:paraId="053F4E4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68AA9EF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74A0FA7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5EB487E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4ECFAF5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1087974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3CC3F28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24" w:type="pct"/>
            <w:tcBorders>
              <w:top w:val="nil"/>
              <w:left w:val="nil"/>
              <w:bottom w:val="nil"/>
              <w:right w:val="nil"/>
            </w:tcBorders>
            <w:shd w:val="clear" w:color="auto" w:fill="auto"/>
            <w:noWrap/>
            <w:vAlign w:val="bottom"/>
            <w:hideMark/>
          </w:tcPr>
          <w:p w14:paraId="443C46E3"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5778597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578" w:type="pct"/>
            <w:tcBorders>
              <w:top w:val="nil"/>
              <w:left w:val="nil"/>
              <w:bottom w:val="nil"/>
              <w:right w:val="nil"/>
            </w:tcBorders>
            <w:shd w:val="clear" w:color="auto" w:fill="auto"/>
            <w:noWrap/>
            <w:vAlign w:val="bottom"/>
            <w:hideMark/>
          </w:tcPr>
          <w:p w14:paraId="3F0E073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433" w:type="pct"/>
            <w:tcBorders>
              <w:top w:val="nil"/>
              <w:left w:val="nil"/>
              <w:bottom w:val="nil"/>
              <w:right w:val="nil"/>
            </w:tcBorders>
            <w:shd w:val="clear" w:color="auto" w:fill="auto"/>
            <w:noWrap/>
            <w:vAlign w:val="bottom"/>
            <w:hideMark/>
          </w:tcPr>
          <w:p w14:paraId="1838D8E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57E4CCC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7F920D5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(0.84)</w:t>
            </w:r>
          </w:p>
        </w:tc>
        <w:tc>
          <w:tcPr>
            <w:tcW w:w="202" w:type="pct"/>
            <w:tcBorders>
              <w:top w:val="nil"/>
              <w:left w:val="nil"/>
              <w:bottom w:val="nil"/>
              <w:right w:val="nil"/>
            </w:tcBorders>
            <w:shd w:val="clear" w:color="auto" w:fill="auto"/>
            <w:noWrap/>
            <w:vAlign w:val="bottom"/>
            <w:hideMark/>
          </w:tcPr>
          <w:p w14:paraId="2115E0C0"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2F038B89" w14:textId="77777777" w:rsidTr="009C6557">
        <w:trPr>
          <w:trHeight w:val="300"/>
        </w:trPr>
        <w:tc>
          <w:tcPr>
            <w:tcW w:w="550" w:type="pct"/>
            <w:tcBorders>
              <w:top w:val="nil"/>
              <w:left w:val="nil"/>
              <w:bottom w:val="nil"/>
              <w:right w:val="nil"/>
            </w:tcBorders>
            <w:shd w:val="clear" w:color="auto" w:fill="auto"/>
            <w:noWrap/>
            <w:vAlign w:val="bottom"/>
            <w:hideMark/>
          </w:tcPr>
          <w:p w14:paraId="66272403"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Other crops</w:t>
            </w:r>
          </w:p>
        </w:tc>
        <w:tc>
          <w:tcPr>
            <w:tcW w:w="351" w:type="pct"/>
            <w:tcBorders>
              <w:top w:val="nil"/>
              <w:left w:val="nil"/>
              <w:bottom w:val="nil"/>
              <w:right w:val="nil"/>
            </w:tcBorders>
            <w:shd w:val="clear" w:color="auto" w:fill="auto"/>
            <w:noWrap/>
            <w:vAlign w:val="bottom"/>
            <w:hideMark/>
          </w:tcPr>
          <w:p w14:paraId="069D61A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4.881</w:t>
            </w:r>
          </w:p>
        </w:tc>
        <w:tc>
          <w:tcPr>
            <w:tcW w:w="291" w:type="pct"/>
            <w:tcBorders>
              <w:top w:val="nil"/>
              <w:left w:val="nil"/>
              <w:bottom w:val="nil"/>
              <w:right w:val="nil"/>
            </w:tcBorders>
            <w:shd w:val="clear" w:color="auto" w:fill="auto"/>
            <w:noWrap/>
            <w:vAlign w:val="bottom"/>
            <w:hideMark/>
          </w:tcPr>
          <w:p w14:paraId="5EB91AD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-0.836</w:t>
            </w:r>
          </w:p>
        </w:tc>
        <w:tc>
          <w:tcPr>
            <w:tcW w:w="360" w:type="pct"/>
            <w:tcBorders>
              <w:top w:val="nil"/>
              <w:left w:val="nil"/>
              <w:bottom w:val="nil"/>
              <w:right w:val="nil"/>
            </w:tcBorders>
            <w:shd w:val="clear" w:color="auto" w:fill="auto"/>
            <w:noWrap/>
            <w:vAlign w:val="bottom"/>
            <w:hideMark/>
          </w:tcPr>
          <w:p w14:paraId="7E4780A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0.517</w:t>
            </w:r>
          </w:p>
        </w:tc>
        <w:tc>
          <w:tcPr>
            <w:tcW w:w="291" w:type="pct"/>
            <w:tcBorders>
              <w:top w:val="nil"/>
              <w:left w:val="nil"/>
              <w:bottom w:val="nil"/>
              <w:right w:val="nil"/>
            </w:tcBorders>
            <w:shd w:val="clear" w:color="auto" w:fill="auto"/>
            <w:noWrap/>
            <w:vAlign w:val="bottom"/>
            <w:hideMark/>
          </w:tcPr>
          <w:p w14:paraId="181F324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-0.269</w:t>
            </w:r>
          </w:p>
        </w:tc>
        <w:tc>
          <w:tcPr>
            <w:tcW w:w="291" w:type="pct"/>
            <w:tcBorders>
              <w:top w:val="nil"/>
              <w:left w:val="nil"/>
              <w:bottom w:val="nil"/>
              <w:right w:val="nil"/>
            </w:tcBorders>
            <w:shd w:val="clear" w:color="auto" w:fill="auto"/>
            <w:noWrap/>
            <w:vAlign w:val="bottom"/>
            <w:hideMark/>
          </w:tcPr>
          <w:p w14:paraId="7FD89CD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-0.402</w:t>
            </w:r>
          </w:p>
        </w:tc>
        <w:tc>
          <w:tcPr>
            <w:tcW w:w="291" w:type="pct"/>
            <w:tcBorders>
              <w:top w:val="nil"/>
              <w:left w:val="nil"/>
              <w:bottom w:val="nil"/>
              <w:right w:val="nil"/>
            </w:tcBorders>
            <w:shd w:val="clear" w:color="auto" w:fill="auto"/>
            <w:noWrap/>
            <w:vAlign w:val="bottom"/>
            <w:hideMark/>
          </w:tcPr>
          <w:p w14:paraId="3405D62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0.155</w:t>
            </w:r>
          </w:p>
        </w:tc>
        <w:tc>
          <w:tcPr>
            <w:tcW w:w="324" w:type="pct"/>
            <w:tcBorders>
              <w:top w:val="nil"/>
              <w:left w:val="nil"/>
              <w:bottom w:val="nil"/>
              <w:right w:val="nil"/>
            </w:tcBorders>
            <w:shd w:val="clear" w:color="auto" w:fill="auto"/>
            <w:noWrap/>
            <w:vAlign w:val="bottom"/>
            <w:hideMark/>
          </w:tcPr>
          <w:p w14:paraId="5EF534F6"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7FFDB44E"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42FB069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0.017</w:t>
            </w:r>
          </w:p>
        </w:tc>
        <w:tc>
          <w:tcPr>
            <w:tcW w:w="433" w:type="pct"/>
            <w:tcBorders>
              <w:top w:val="nil"/>
              <w:left w:val="nil"/>
              <w:bottom w:val="nil"/>
              <w:right w:val="nil"/>
            </w:tcBorders>
            <w:shd w:val="clear" w:color="auto" w:fill="auto"/>
            <w:noWrap/>
            <w:vAlign w:val="bottom"/>
            <w:hideMark/>
          </w:tcPr>
          <w:p w14:paraId="33391BE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-0.001</w:t>
            </w:r>
          </w:p>
        </w:tc>
        <w:tc>
          <w:tcPr>
            <w:tcW w:w="360" w:type="pct"/>
            <w:tcBorders>
              <w:top w:val="nil"/>
              <w:left w:val="nil"/>
              <w:bottom w:val="nil"/>
              <w:right w:val="nil"/>
            </w:tcBorders>
            <w:shd w:val="clear" w:color="auto" w:fill="auto"/>
            <w:noWrap/>
            <w:vAlign w:val="bottom"/>
            <w:hideMark/>
          </w:tcPr>
          <w:p w14:paraId="30F17F6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3BB2967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-0.339*</w:t>
            </w:r>
          </w:p>
        </w:tc>
        <w:tc>
          <w:tcPr>
            <w:tcW w:w="202" w:type="pct"/>
            <w:tcBorders>
              <w:top w:val="nil"/>
              <w:left w:val="nil"/>
              <w:bottom w:val="nil"/>
              <w:right w:val="nil"/>
            </w:tcBorders>
            <w:shd w:val="clear" w:color="auto" w:fill="auto"/>
            <w:noWrap/>
            <w:vAlign w:val="bottom"/>
            <w:hideMark/>
          </w:tcPr>
          <w:p w14:paraId="4D436EE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0.66</w:t>
            </w:r>
          </w:p>
        </w:tc>
      </w:tr>
      <w:tr w:rsidR="009C6557" w:rsidRPr="00AA13C5" w14:paraId="0CDC2F24" w14:textId="77777777" w:rsidTr="009C6557">
        <w:trPr>
          <w:trHeight w:val="300"/>
        </w:trPr>
        <w:tc>
          <w:tcPr>
            <w:tcW w:w="550" w:type="pct"/>
            <w:tcBorders>
              <w:top w:val="nil"/>
              <w:left w:val="nil"/>
              <w:bottom w:val="nil"/>
              <w:right w:val="nil"/>
            </w:tcBorders>
            <w:shd w:val="clear" w:color="auto" w:fill="auto"/>
            <w:noWrap/>
            <w:vAlign w:val="bottom"/>
            <w:hideMark/>
          </w:tcPr>
          <w:p w14:paraId="360CCFE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24908F2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(0.21)</w:t>
            </w:r>
          </w:p>
        </w:tc>
        <w:tc>
          <w:tcPr>
            <w:tcW w:w="291" w:type="pct"/>
            <w:tcBorders>
              <w:top w:val="nil"/>
              <w:left w:val="nil"/>
              <w:bottom w:val="nil"/>
              <w:right w:val="nil"/>
            </w:tcBorders>
            <w:shd w:val="clear" w:color="auto" w:fill="auto"/>
            <w:noWrap/>
            <w:vAlign w:val="bottom"/>
            <w:hideMark/>
          </w:tcPr>
          <w:p w14:paraId="58D1D5B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(0.34)</w:t>
            </w:r>
          </w:p>
        </w:tc>
        <w:tc>
          <w:tcPr>
            <w:tcW w:w="360" w:type="pct"/>
            <w:tcBorders>
              <w:top w:val="nil"/>
              <w:left w:val="nil"/>
              <w:bottom w:val="nil"/>
              <w:right w:val="nil"/>
            </w:tcBorders>
            <w:shd w:val="clear" w:color="auto" w:fill="auto"/>
            <w:noWrap/>
            <w:vAlign w:val="bottom"/>
            <w:hideMark/>
          </w:tcPr>
          <w:p w14:paraId="0501A16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(0.57)</w:t>
            </w:r>
          </w:p>
        </w:tc>
        <w:tc>
          <w:tcPr>
            <w:tcW w:w="291" w:type="pct"/>
            <w:tcBorders>
              <w:top w:val="nil"/>
              <w:left w:val="nil"/>
              <w:bottom w:val="nil"/>
              <w:right w:val="nil"/>
            </w:tcBorders>
            <w:shd w:val="clear" w:color="auto" w:fill="auto"/>
            <w:noWrap/>
            <w:vAlign w:val="bottom"/>
            <w:hideMark/>
          </w:tcPr>
          <w:p w14:paraId="2A9AD6C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(0.76)</w:t>
            </w:r>
          </w:p>
        </w:tc>
        <w:tc>
          <w:tcPr>
            <w:tcW w:w="291" w:type="pct"/>
            <w:tcBorders>
              <w:top w:val="nil"/>
              <w:left w:val="nil"/>
              <w:bottom w:val="nil"/>
              <w:right w:val="nil"/>
            </w:tcBorders>
            <w:shd w:val="clear" w:color="auto" w:fill="auto"/>
            <w:noWrap/>
            <w:vAlign w:val="bottom"/>
            <w:hideMark/>
          </w:tcPr>
          <w:p w14:paraId="112E2D4B"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(0.63)</w:t>
            </w:r>
          </w:p>
        </w:tc>
        <w:tc>
          <w:tcPr>
            <w:tcW w:w="291" w:type="pct"/>
            <w:tcBorders>
              <w:top w:val="nil"/>
              <w:left w:val="nil"/>
              <w:bottom w:val="nil"/>
              <w:right w:val="nil"/>
            </w:tcBorders>
            <w:shd w:val="clear" w:color="auto" w:fill="auto"/>
            <w:noWrap/>
            <w:vAlign w:val="bottom"/>
            <w:hideMark/>
          </w:tcPr>
          <w:p w14:paraId="338C550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(0.84)</w:t>
            </w:r>
          </w:p>
        </w:tc>
        <w:tc>
          <w:tcPr>
            <w:tcW w:w="324" w:type="pct"/>
            <w:tcBorders>
              <w:top w:val="nil"/>
              <w:left w:val="nil"/>
              <w:bottom w:val="nil"/>
              <w:right w:val="nil"/>
            </w:tcBorders>
            <w:shd w:val="clear" w:color="auto" w:fill="auto"/>
            <w:noWrap/>
            <w:vAlign w:val="bottom"/>
            <w:hideMark/>
          </w:tcPr>
          <w:p w14:paraId="29A71C5A"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0AF7799F"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530182D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(0.58)</w:t>
            </w:r>
          </w:p>
        </w:tc>
        <w:tc>
          <w:tcPr>
            <w:tcW w:w="433" w:type="pct"/>
            <w:tcBorders>
              <w:top w:val="nil"/>
              <w:left w:val="nil"/>
              <w:bottom w:val="nil"/>
              <w:right w:val="nil"/>
            </w:tcBorders>
            <w:shd w:val="clear" w:color="auto" w:fill="auto"/>
            <w:noWrap/>
            <w:vAlign w:val="bottom"/>
            <w:hideMark/>
          </w:tcPr>
          <w:p w14:paraId="7C04F67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(0.34)</w:t>
            </w:r>
          </w:p>
        </w:tc>
        <w:tc>
          <w:tcPr>
            <w:tcW w:w="360" w:type="pct"/>
            <w:tcBorders>
              <w:top w:val="nil"/>
              <w:left w:val="nil"/>
              <w:bottom w:val="nil"/>
              <w:right w:val="nil"/>
            </w:tcBorders>
            <w:shd w:val="clear" w:color="auto" w:fill="auto"/>
            <w:noWrap/>
            <w:vAlign w:val="bottom"/>
            <w:hideMark/>
          </w:tcPr>
          <w:p w14:paraId="656F8825"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02C6E2B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02" w:type="pct"/>
            <w:tcBorders>
              <w:top w:val="nil"/>
              <w:left w:val="nil"/>
              <w:bottom w:val="nil"/>
              <w:right w:val="nil"/>
            </w:tcBorders>
            <w:shd w:val="clear" w:color="auto" w:fill="auto"/>
            <w:noWrap/>
            <w:vAlign w:val="bottom"/>
            <w:hideMark/>
          </w:tcPr>
          <w:p w14:paraId="22F42FD8"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770EA1A7" w14:textId="77777777" w:rsidTr="009C6557">
        <w:trPr>
          <w:trHeight w:val="300"/>
        </w:trPr>
        <w:tc>
          <w:tcPr>
            <w:tcW w:w="550" w:type="pct"/>
            <w:tcBorders>
              <w:top w:val="nil"/>
              <w:left w:val="nil"/>
              <w:bottom w:val="nil"/>
              <w:right w:val="nil"/>
            </w:tcBorders>
            <w:shd w:val="clear" w:color="auto" w:fill="auto"/>
            <w:noWrap/>
            <w:vAlign w:val="bottom"/>
            <w:hideMark/>
          </w:tcPr>
          <w:p w14:paraId="76092EFF"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Pastures - Dairy</w:t>
            </w:r>
          </w:p>
        </w:tc>
        <w:tc>
          <w:tcPr>
            <w:tcW w:w="351" w:type="pct"/>
            <w:tcBorders>
              <w:top w:val="nil"/>
              <w:left w:val="nil"/>
              <w:bottom w:val="nil"/>
              <w:right w:val="nil"/>
            </w:tcBorders>
            <w:shd w:val="clear" w:color="auto" w:fill="auto"/>
            <w:noWrap/>
            <w:vAlign w:val="bottom"/>
            <w:hideMark/>
          </w:tcPr>
          <w:p w14:paraId="595CF24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3.743*</w:t>
            </w:r>
          </w:p>
        </w:tc>
        <w:tc>
          <w:tcPr>
            <w:tcW w:w="291" w:type="pct"/>
            <w:tcBorders>
              <w:top w:val="nil"/>
              <w:left w:val="nil"/>
              <w:bottom w:val="nil"/>
              <w:right w:val="nil"/>
            </w:tcBorders>
            <w:shd w:val="clear" w:color="auto" w:fill="auto"/>
            <w:noWrap/>
            <w:vAlign w:val="bottom"/>
            <w:hideMark/>
          </w:tcPr>
          <w:p w14:paraId="5DC89C5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0.852*</w:t>
            </w:r>
          </w:p>
        </w:tc>
        <w:tc>
          <w:tcPr>
            <w:tcW w:w="360" w:type="pct"/>
            <w:tcBorders>
              <w:top w:val="nil"/>
              <w:left w:val="nil"/>
              <w:bottom w:val="nil"/>
              <w:right w:val="nil"/>
            </w:tcBorders>
            <w:shd w:val="clear" w:color="auto" w:fill="auto"/>
            <w:noWrap/>
            <w:vAlign w:val="bottom"/>
            <w:hideMark/>
          </w:tcPr>
          <w:p w14:paraId="74226EB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1.727*</w:t>
            </w:r>
          </w:p>
        </w:tc>
        <w:tc>
          <w:tcPr>
            <w:tcW w:w="291" w:type="pct"/>
            <w:tcBorders>
              <w:top w:val="nil"/>
              <w:left w:val="nil"/>
              <w:bottom w:val="nil"/>
              <w:right w:val="nil"/>
            </w:tcBorders>
            <w:shd w:val="clear" w:color="auto" w:fill="auto"/>
            <w:noWrap/>
            <w:vAlign w:val="bottom"/>
            <w:hideMark/>
          </w:tcPr>
          <w:p w14:paraId="67FDB29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0.527*</w:t>
            </w:r>
          </w:p>
        </w:tc>
        <w:tc>
          <w:tcPr>
            <w:tcW w:w="291" w:type="pct"/>
            <w:tcBorders>
              <w:top w:val="nil"/>
              <w:left w:val="nil"/>
              <w:bottom w:val="nil"/>
              <w:right w:val="nil"/>
            </w:tcBorders>
            <w:shd w:val="clear" w:color="auto" w:fill="auto"/>
            <w:noWrap/>
            <w:vAlign w:val="bottom"/>
            <w:hideMark/>
          </w:tcPr>
          <w:p w14:paraId="0AB9953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-0.190</w:t>
            </w:r>
          </w:p>
        </w:tc>
        <w:tc>
          <w:tcPr>
            <w:tcW w:w="291" w:type="pct"/>
            <w:tcBorders>
              <w:top w:val="nil"/>
              <w:left w:val="nil"/>
              <w:bottom w:val="nil"/>
              <w:right w:val="nil"/>
            </w:tcBorders>
            <w:shd w:val="clear" w:color="auto" w:fill="auto"/>
            <w:noWrap/>
            <w:vAlign w:val="bottom"/>
            <w:hideMark/>
          </w:tcPr>
          <w:p w14:paraId="0C9F101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0.687*</w:t>
            </w:r>
          </w:p>
        </w:tc>
        <w:tc>
          <w:tcPr>
            <w:tcW w:w="324" w:type="pct"/>
            <w:tcBorders>
              <w:top w:val="nil"/>
              <w:left w:val="nil"/>
              <w:bottom w:val="nil"/>
              <w:right w:val="nil"/>
            </w:tcBorders>
            <w:shd w:val="clear" w:color="auto" w:fill="auto"/>
            <w:noWrap/>
            <w:vAlign w:val="bottom"/>
            <w:hideMark/>
          </w:tcPr>
          <w:p w14:paraId="4D390E68"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20EA93A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-0.001*</w:t>
            </w:r>
          </w:p>
        </w:tc>
        <w:tc>
          <w:tcPr>
            <w:tcW w:w="578" w:type="pct"/>
            <w:tcBorders>
              <w:top w:val="nil"/>
              <w:left w:val="nil"/>
              <w:bottom w:val="nil"/>
              <w:right w:val="nil"/>
            </w:tcBorders>
            <w:shd w:val="clear" w:color="auto" w:fill="auto"/>
            <w:noWrap/>
            <w:vAlign w:val="bottom"/>
            <w:hideMark/>
          </w:tcPr>
          <w:p w14:paraId="622E7E3F"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433" w:type="pct"/>
            <w:tcBorders>
              <w:top w:val="nil"/>
              <w:left w:val="nil"/>
              <w:bottom w:val="nil"/>
              <w:right w:val="nil"/>
            </w:tcBorders>
            <w:shd w:val="clear" w:color="auto" w:fill="auto"/>
            <w:noWrap/>
            <w:vAlign w:val="bottom"/>
            <w:hideMark/>
          </w:tcPr>
          <w:p w14:paraId="2CAE334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-0.002*</w:t>
            </w:r>
          </w:p>
        </w:tc>
        <w:tc>
          <w:tcPr>
            <w:tcW w:w="360" w:type="pct"/>
            <w:tcBorders>
              <w:top w:val="nil"/>
              <w:left w:val="nil"/>
              <w:bottom w:val="nil"/>
              <w:right w:val="nil"/>
            </w:tcBorders>
            <w:shd w:val="clear" w:color="auto" w:fill="auto"/>
            <w:noWrap/>
            <w:vAlign w:val="bottom"/>
            <w:hideMark/>
          </w:tcPr>
          <w:p w14:paraId="31F1A5A0"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1E6BB08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-0.022</w:t>
            </w:r>
          </w:p>
        </w:tc>
        <w:tc>
          <w:tcPr>
            <w:tcW w:w="202" w:type="pct"/>
            <w:tcBorders>
              <w:top w:val="nil"/>
              <w:left w:val="nil"/>
              <w:bottom w:val="nil"/>
              <w:right w:val="nil"/>
            </w:tcBorders>
            <w:shd w:val="clear" w:color="auto" w:fill="auto"/>
            <w:noWrap/>
            <w:vAlign w:val="bottom"/>
            <w:hideMark/>
          </w:tcPr>
          <w:p w14:paraId="245F4CB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0.57</w:t>
            </w:r>
          </w:p>
        </w:tc>
      </w:tr>
      <w:tr w:rsidR="009C6557" w:rsidRPr="00AA13C5" w14:paraId="453E10BD" w14:textId="77777777" w:rsidTr="009C6557">
        <w:trPr>
          <w:trHeight w:val="300"/>
        </w:trPr>
        <w:tc>
          <w:tcPr>
            <w:tcW w:w="550" w:type="pct"/>
            <w:tcBorders>
              <w:top w:val="nil"/>
              <w:left w:val="nil"/>
              <w:bottom w:val="nil"/>
              <w:right w:val="nil"/>
            </w:tcBorders>
            <w:shd w:val="clear" w:color="auto" w:fill="auto"/>
            <w:noWrap/>
            <w:vAlign w:val="bottom"/>
            <w:hideMark/>
          </w:tcPr>
          <w:p w14:paraId="075C8513"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51" w:type="pct"/>
            <w:tcBorders>
              <w:top w:val="nil"/>
              <w:left w:val="nil"/>
              <w:bottom w:val="nil"/>
              <w:right w:val="nil"/>
            </w:tcBorders>
            <w:shd w:val="clear" w:color="auto" w:fill="auto"/>
            <w:noWrap/>
            <w:vAlign w:val="bottom"/>
            <w:hideMark/>
          </w:tcPr>
          <w:p w14:paraId="0369D1B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0D9E381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09DA7418"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nil"/>
              <w:right w:val="nil"/>
            </w:tcBorders>
            <w:shd w:val="clear" w:color="auto" w:fill="auto"/>
            <w:noWrap/>
            <w:vAlign w:val="bottom"/>
            <w:hideMark/>
          </w:tcPr>
          <w:p w14:paraId="1CA476D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(0.03)</w:t>
            </w:r>
          </w:p>
        </w:tc>
        <w:tc>
          <w:tcPr>
            <w:tcW w:w="291" w:type="pct"/>
            <w:tcBorders>
              <w:top w:val="nil"/>
              <w:left w:val="nil"/>
              <w:bottom w:val="nil"/>
              <w:right w:val="nil"/>
            </w:tcBorders>
            <w:shd w:val="clear" w:color="auto" w:fill="auto"/>
            <w:noWrap/>
            <w:vAlign w:val="bottom"/>
            <w:hideMark/>
          </w:tcPr>
          <w:p w14:paraId="6C70D453"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(0.36)</w:t>
            </w:r>
          </w:p>
        </w:tc>
        <w:tc>
          <w:tcPr>
            <w:tcW w:w="291" w:type="pct"/>
            <w:tcBorders>
              <w:top w:val="nil"/>
              <w:left w:val="nil"/>
              <w:bottom w:val="nil"/>
              <w:right w:val="nil"/>
            </w:tcBorders>
            <w:shd w:val="clear" w:color="auto" w:fill="auto"/>
            <w:noWrap/>
            <w:vAlign w:val="bottom"/>
            <w:hideMark/>
          </w:tcPr>
          <w:p w14:paraId="3F8E5E67"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24" w:type="pct"/>
            <w:tcBorders>
              <w:top w:val="nil"/>
              <w:left w:val="nil"/>
              <w:bottom w:val="nil"/>
              <w:right w:val="nil"/>
            </w:tcBorders>
            <w:shd w:val="clear" w:color="auto" w:fill="auto"/>
            <w:noWrap/>
            <w:vAlign w:val="bottom"/>
            <w:hideMark/>
          </w:tcPr>
          <w:p w14:paraId="53C85EC6"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48E8A51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(0.01)</w:t>
            </w:r>
          </w:p>
        </w:tc>
        <w:tc>
          <w:tcPr>
            <w:tcW w:w="578" w:type="pct"/>
            <w:tcBorders>
              <w:top w:val="nil"/>
              <w:left w:val="nil"/>
              <w:bottom w:val="nil"/>
              <w:right w:val="nil"/>
            </w:tcBorders>
            <w:shd w:val="clear" w:color="auto" w:fill="auto"/>
            <w:noWrap/>
            <w:vAlign w:val="bottom"/>
            <w:hideMark/>
          </w:tcPr>
          <w:p w14:paraId="2012A1C0"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433" w:type="pct"/>
            <w:tcBorders>
              <w:top w:val="nil"/>
              <w:left w:val="nil"/>
              <w:bottom w:val="nil"/>
              <w:right w:val="nil"/>
            </w:tcBorders>
            <w:shd w:val="clear" w:color="auto" w:fill="auto"/>
            <w:noWrap/>
            <w:vAlign w:val="bottom"/>
            <w:hideMark/>
          </w:tcPr>
          <w:p w14:paraId="05D40B4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nil"/>
              <w:right w:val="nil"/>
            </w:tcBorders>
            <w:shd w:val="clear" w:color="auto" w:fill="auto"/>
            <w:noWrap/>
            <w:vAlign w:val="bottom"/>
            <w:hideMark/>
          </w:tcPr>
          <w:p w14:paraId="32C19C67"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4899EDB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(0.34)</w:t>
            </w:r>
          </w:p>
        </w:tc>
        <w:tc>
          <w:tcPr>
            <w:tcW w:w="202" w:type="pct"/>
            <w:tcBorders>
              <w:top w:val="nil"/>
              <w:left w:val="nil"/>
              <w:bottom w:val="nil"/>
              <w:right w:val="nil"/>
            </w:tcBorders>
            <w:shd w:val="clear" w:color="auto" w:fill="auto"/>
            <w:noWrap/>
            <w:vAlign w:val="bottom"/>
            <w:hideMark/>
          </w:tcPr>
          <w:p w14:paraId="544063B6" w14:textId="77777777" w:rsidR="00AA13C5" w:rsidRPr="00AA13C5" w:rsidRDefault="00AA13C5" w:rsidP="00AA13C5">
            <w:pPr>
              <w:spacing w:after="0" w:line="240" w:lineRule="auto"/>
              <w:jc w:val="right"/>
              <w:rPr>
                <w:rFonts w:eastAsia="Times New Roman"/>
                <w:color w:val="000000"/>
                <w:sz w:val="19"/>
                <w:szCs w:val="19"/>
                <w:lang w:eastAsia="en-AU"/>
              </w:rPr>
            </w:pPr>
          </w:p>
        </w:tc>
      </w:tr>
      <w:tr w:rsidR="009C6557" w:rsidRPr="00AA13C5" w14:paraId="2AF51FD2" w14:textId="77777777" w:rsidTr="009C6557">
        <w:trPr>
          <w:trHeight w:val="300"/>
        </w:trPr>
        <w:tc>
          <w:tcPr>
            <w:tcW w:w="550" w:type="pct"/>
            <w:tcBorders>
              <w:top w:val="nil"/>
              <w:left w:val="nil"/>
              <w:bottom w:val="nil"/>
              <w:right w:val="nil"/>
            </w:tcBorders>
            <w:shd w:val="clear" w:color="auto" w:fill="auto"/>
            <w:noWrap/>
            <w:vAlign w:val="bottom"/>
            <w:hideMark/>
          </w:tcPr>
          <w:p w14:paraId="7914F168"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Pastures - Hay</w:t>
            </w:r>
          </w:p>
        </w:tc>
        <w:tc>
          <w:tcPr>
            <w:tcW w:w="351" w:type="pct"/>
            <w:tcBorders>
              <w:top w:val="nil"/>
              <w:left w:val="nil"/>
              <w:bottom w:val="nil"/>
              <w:right w:val="nil"/>
            </w:tcBorders>
            <w:shd w:val="clear" w:color="auto" w:fill="auto"/>
            <w:noWrap/>
            <w:vAlign w:val="bottom"/>
            <w:hideMark/>
          </w:tcPr>
          <w:p w14:paraId="337E1F5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4.103*</w:t>
            </w:r>
          </w:p>
        </w:tc>
        <w:tc>
          <w:tcPr>
            <w:tcW w:w="291" w:type="pct"/>
            <w:tcBorders>
              <w:top w:val="nil"/>
              <w:left w:val="nil"/>
              <w:bottom w:val="nil"/>
              <w:right w:val="nil"/>
            </w:tcBorders>
            <w:shd w:val="clear" w:color="auto" w:fill="auto"/>
            <w:noWrap/>
            <w:vAlign w:val="bottom"/>
            <w:hideMark/>
          </w:tcPr>
          <w:p w14:paraId="088415B6"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-0.559*</w:t>
            </w:r>
          </w:p>
        </w:tc>
        <w:tc>
          <w:tcPr>
            <w:tcW w:w="360" w:type="pct"/>
            <w:tcBorders>
              <w:top w:val="nil"/>
              <w:left w:val="nil"/>
              <w:bottom w:val="nil"/>
              <w:right w:val="nil"/>
            </w:tcBorders>
            <w:shd w:val="clear" w:color="auto" w:fill="auto"/>
            <w:noWrap/>
            <w:vAlign w:val="bottom"/>
            <w:hideMark/>
          </w:tcPr>
          <w:p w14:paraId="4E418BD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0.968*</w:t>
            </w:r>
          </w:p>
        </w:tc>
        <w:tc>
          <w:tcPr>
            <w:tcW w:w="291" w:type="pct"/>
            <w:tcBorders>
              <w:top w:val="nil"/>
              <w:left w:val="nil"/>
              <w:bottom w:val="nil"/>
              <w:right w:val="nil"/>
            </w:tcBorders>
            <w:shd w:val="clear" w:color="auto" w:fill="auto"/>
            <w:noWrap/>
            <w:vAlign w:val="bottom"/>
            <w:hideMark/>
          </w:tcPr>
          <w:p w14:paraId="439E445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-0.537*</w:t>
            </w:r>
          </w:p>
        </w:tc>
        <w:tc>
          <w:tcPr>
            <w:tcW w:w="291" w:type="pct"/>
            <w:tcBorders>
              <w:top w:val="nil"/>
              <w:left w:val="nil"/>
              <w:bottom w:val="nil"/>
              <w:right w:val="nil"/>
            </w:tcBorders>
            <w:shd w:val="clear" w:color="auto" w:fill="auto"/>
            <w:noWrap/>
            <w:vAlign w:val="bottom"/>
            <w:hideMark/>
          </w:tcPr>
          <w:p w14:paraId="29B1A9C2"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-0.616*</w:t>
            </w:r>
          </w:p>
        </w:tc>
        <w:tc>
          <w:tcPr>
            <w:tcW w:w="291" w:type="pct"/>
            <w:tcBorders>
              <w:top w:val="nil"/>
              <w:left w:val="nil"/>
              <w:bottom w:val="nil"/>
              <w:right w:val="nil"/>
            </w:tcBorders>
            <w:shd w:val="clear" w:color="auto" w:fill="auto"/>
            <w:noWrap/>
            <w:vAlign w:val="bottom"/>
            <w:hideMark/>
          </w:tcPr>
          <w:p w14:paraId="1FCA48A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-0.543*</w:t>
            </w:r>
          </w:p>
        </w:tc>
        <w:tc>
          <w:tcPr>
            <w:tcW w:w="324" w:type="pct"/>
            <w:tcBorders>
              <w:top w:val="nil"/>
              <w:left w:val="nil"/>
              <w:bottom w:val="nil"/>
              <w:right w:val="nil"/>
            </w:tcBorders>
            <w:shd w:val="clear" w:color="auto" w:fill="auto"/>
            <w:noWrap/>
            <w:vAlign w:val="bottom"/>
            <w:hideMark/>
          </w:tcPr>
          <w:p w14:paraId="2E50F11A"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48" w:type="pct"/>
            <w:tcBorders>
              <w:top w:val="nil"/>
              <w:left w:val="nil"/>
              <w:bottom w:val="nil"/>
              <w:right w:val="nil"/>
            </w:tcBorders>
            <w:shd w:val="clear" w:color="auto" w:fill="auto"/>
            <w:noWrap/>
            <w:vAlign w:val="bottom"/>
            <w:hideMark/>
          </w:tcPr>
          <w:p w14:paraId="723E3727"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578" w:type="pct"/>
            <w:tcBorders>
              <w:top w:val="nil"/>
              <w:left w:val="nil"/>
              <w:bottom w:val="nil"/>
              <w:right w:val="nil"/>
            </w:tcBorders>
            <w:shd w:val="clear" w:color="auto" w:fill="auto"/>
            <w:noWrap/>
            <w:vAlign w:val="bottom"/>
            <w:hideMark/>
          </w:tcPr>
          <w:p w14:paraId="57D6C2A9" w14:textId="77777777" w:rsidR="00AA13C5" w:rsidRPr="00AA13C5" w:rsidRDefault="00AA13C5" w:rsidP="00AA13C5">
            <w:pPr>
              <w:spacing w:after="0" w:line="240" w:lineRule="auto"/>
              <w:jc w:val="right"/>
              <w:rPr>
                <w:rFonts w:ascii="Times New Roman" w:eastAsia="Times New Roman" w:hAnsi="Times New Roman"/>
                <w:color w:val="auto"/>
                <w:sz w:val="20"/>
                <w:szCs w:val="20"/>
                <w:lang w:eastAsia="en-AU"/>
              </w:rPr>
            </w:pPr>
          </w:p>
        </w:tc>
        <w:tc>
          <w:tcPr>
            <w:tcW w:w="433" w:type="pct"/>
            <w:tcBorders>
              <w:top w:val="nil"/>
              <w:left w:val="nil"/>
              <w:bottom w:val="nil"/>
              <w:right w:val="nil"/>
            </w:tcBorders>
            <w:shd w:val="clear" w:color="auto" w:fill="auto"/>
            <w:noWrap/>
            <w:vAlign w:val="bottom"/>
            <w:hideMark/>
          </w:tcPr>
          <w:p w14:paraId="64F6B205"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-0.002*</w:t>
            </w:r>
          </w:p>
        </w:tc>
        <w:tc>
          <w:tcPr>
            <w:tcW w:w="360" w:type="pct"/>
            <w:tcBorders>
              <w:top w:val="nil"/>
              <w:left w:val="nil"/>
              <w:bottom w:val="nil"/>
              <w:right w:val="nil"/>
            </w:tcBorders>
            <w:shd w:val="clear" w:color="auto" w:fill="auto"/>
            <w:noWrap/>
            <w:vAlign w:val="bottom"/>
            <w:hideMark/>
          </w:tcPr>
          <w:p w14:paraId="671867D8" w14:textId="77777777" w:rsidR="00AA13C5" w:rsidRPr="00AA13C5" w:rsidRDefault="00AA13C5" w:rsidP="00AA13C5">
            <w:pPr>
              <w:spacing w:after="0" w:line="240" w:lineRule="auto"/>
              <w:jc w:val="right"/>
              <w:rPr>
                <w:rFonts w:eastAsia="Times New Roman"/>
                <w:color w:val="000000"/>
                <w:sz w:val="19"/>
                <w:szCs w:val="19"/>
                <w:lang w:eastAsia="en-AU"/>
              </w:rPr>
            </w:pPr>
          </w:p>
        </w:tc>
        <w:tc>
          <w:tcPr>
            <w:tcW w:w="331" w:type="pct"/>
            <w:tcBorders>
              <w:top w:val="nil"/>
              <w:left w:val="nil"/>
              <w:bottom w:val="nil"/>
              <w:right w:val="nil"/>
            </w:tcBorders>
            <w:shd w:val="clear" w:color="auto" w:fill="auto"/>
            <w:noWrap/>
            <w:vAlign w:val="bottom"/>
            <w:hideMark/>
          </w:tcPr>
          <w:p w14:paraId="2E54B73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0.028</w:t>
            </w:r>
          </w:p>
        </w:tc>
        <w:tc>
          <w:tcPr>
            <w:tcW w:w="202" w:type="pct"/>
            <w:tcBorders>
              <w:top w:val="nil"/>
              <w:left w:val="nil"/>
              <w:bottom w:val="nil"/>
              <w:right w:val="nil"/>
            </w:tcBorders>
            <w:shd w:val="clear" w:color="auto" w:fill="auto"/>
            <w:noWrap/>
            <w:vAlign w:val="bottom"/>
            <w:hideMark/>
          </w:tcPr>
          <w:p w14:paraId="03067CF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0.55</w:t>
            </w:r>
          </w:p>
        </w:tc>
      </w:tr>
      <w:tr w:rsidR="009C6557" w:rsidRPr="00AA13C5" w14:paraId="6982880D" w14:textId="77777777" w:rsidTr="009C6557">
        <w:trPr>
          <w:trHeight w:val="300"/>
        </w:trPr>
        <w:tc>
          <w:tcPr>
            <w:tcW w:w="550" w:type="pct"/>
            <w:tcBorders>
              <w:top w:val="nil"/>
              <w:left w:val="nil"/>
              <w:bottom w:val="single" w:sz="4" w:space="0" w:color="auto"/>
              <w:right w:val="nil"/>
            </w:tcBorders>
            <w:shd w:val="clear" w:color="auto" w:fill="auto"/>
            <w:noWrap/>
            <w:vAlign w:val="bottom"/>
            <w:hideMark/>
          </w:tcPr>
          <w:p w14:paraId="18D27A16" w14:textId="77777777" w:rsidR="00AA13C5" w:rsidRPr="00AA13C5" w:rsidRDefault="00AA13C5" w:rsidP="00AA13C5">
            <w:pPr>
              <w:spacing w:after="0" w:line="240" w:lineRule="auto"/>
              <w:rPr>
                <w:rFonts w:eastAsia="Times New Roman"/>
                <w:color w:val="000000"/>
                <w:sz w:val="19"/>
                <w:szCs w:val="19"/>
                <w:lang w:eastAsia="en-AU"/>
              </w:rPr>
            </w:pPr>
            <w:r w:rsidRPr="00AA13C5">
              <w:rPr>
                <w:rFonts w:eastAsia="Times New Roman"/>
                <w:color w:val="000000"/>
                <w:sz w:val="19"/>
                <w:szCs w:val="19"/>
                <w:lang w:eastAsia="en-AU"/>
              </w:rPr>
              <w:t> </w:t>
            </w:r>
          </w:p>
        </w:tc>
        <w:tc>
          <w:tcPr>
            <w:tcW w:w="351" w:type="pct"/>
            <w:tcBorders>
              <w:top w:val="nil"/>
              <w:left w:val="nil"/>
              <w:bottom w:val="single" w:sz="4" w:space="0" w:color="auto"/>
              <w:right w:val="nil"/>
            </w:tcBorders>
            <w:shd w:val="clear" w:color="auto" w:fill="auto"/>
            <w:noWrap/>
            <w:vAlign w:val="bottom"/>
            <w:hideMark/>
          </w:tcPr>
          <w:p w14:paraId="5DA24A59"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single" w:sz="4" w:space="0" w:color="auto"/>
              <w:right w:val="nil"/>
            </w:tcBorders>
            <w:shd w:val="clear" w:color="auto" w:fill="auto"/>
            <w:noWrap/>
            <w:vAlign w:val="bottom"/>
            <w:hideMark/>
          </w:tcPr>
          <w:p w14:paraId="360B268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360" w:type="pct"/>
            <w:tcBorders>
              <w:top w:val="nil"/>
              <w:left w:val="nil"/>
              <w:bottom w:val="single" w:sz="4" w:space="0" w:color="auto"/>
              <w:right w:val="nil"/>
            </w:tcBorders>
            <w:shd w:val="clear" w:color="auto" w:fill="auto"/>
            <w:noWrap/>
            <w:vAlign w:val="bottom"/>
            <w:hideMark/>
          </w:tcPr>
          <w:p w14:paraId="64D2D07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single" w:sz="4" w:space="0" w:color="auto"/>
              <w:right w:val="nil"/>
            </w:tcBorders>
            <w:shd w:val="clear" w:color="auto" w:fill="auto"/>
            <w:noWrap/>
            <w:vAlign w:val="bottom"/>
            <w:hideMark/>
          </w:tcPr>
          <w:p w14:paraId="0694CFAF"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(0.02)</w:t>
            </w:r>
          </w:p>
        </w:tc>
        <w:tc>
          <w:tcPr>
            <w:tcW w:w="291" w:type="pct"/>
            <w:tcBorders>
              <w:top w:val="nil"/>
              <w:left w:val="nil"/>
              <w:bottom w:val="single" w:sz="4" w:space="0" w:color="auto"/>
              <w:right w:val="nil"/>
            </w:tcBorders>
            <w:shd w:val="clear" w:color="auto" w:fill="auto"/>
            <w:noWrap/>
            <w:vAlign w:val="bottom"/>
            <w:hideMark/>
          </w:tcPr>
          <w:p w14:paraId="15F02D9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291" w:type="pct"/>
            <w:tcBorders>
              <w:top w:val="nil"/>
              <w:left w:val="nil"/>
              <w:bottom w:val="single" w:sz="4" w:space="0" w:color="auto"/>
              <w:right w:val="nil"/>
            </w:tcBorders>
            <w:shd w:val="clear" w:color="auto" w:fill="auto"/>
            <w:noWrap/>
            <w:vAlign w:val="bottom"/>
            <w:hideMark/>
          </w:tcPr>
          <w:p w14:paraId="3A12ACF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(0.01)</w:t>
            </w:r>
          </w:p>
        </w:tc>
        <w:tc>
          <w:tcPr>
            <w:tcW w:w="324" w:type="pct"/>
            <w:tcBorders>
              <w:top w:val="nil"/>
              <w:left w:val="nil"/>
              <w:bottom w:val="single" w:sz="4" w:space="0" w:color="auto"/>
              <w:right w:val="nil"/>
            </w:tcBorders>
            <w:shd w:val="clear" w:color="auto" w:fill="auto"/>
            <w:noWrap/>
            <w:vAlign w:val="bottom"/>
            <w:hideMark/>
          </w:tcPr>
          <w:p w14:paraId="79832E4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c>
          <w:tcPr>
            <w:tcW w:w="348" w:type="pct"/>
            <w:tcBorders>
              <w:top w:val="nil"/>
              <w:left w:val="nil"/>
              <w:bottom w:val="single" w:sz="4" w:space="0" w:color="auto"/>
              <w:right w:val="nil"/>
            </w:tcBorders>
            <w:shd w:val="clear" w:color="auto" w:fill="auto"/>
            <w:noWrap/>
            <w:vAlign w:val="bottom"/>
            <w:hideMark/>
          </w:tcPr>
          <w:p w14:paraId="3893B88E"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c>
          <w:tcPr>
            <w:tcW w:w="578" w:type="pct"/>
            <w:tcBorders>
              <w:top w:val="nil"/>
              <w:left w:val="nil"/>
              <w:bottom w:val="single" w:sz="4" w:space="0" w:color="auto"/>
              <w:right w:val="nil"/>
            </w:tcBorders>
            <w:shd w:val="clear" w:color="auto" w:fill="auto"/>
            <w:noWrap/>
            <w:vAlign w:val="bottom"/>
            <w:hideMark/>
          </w:tcPr>
          <w:p w14:paraId="161BFA2D"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c>
          <w:tcPr>
            <w:tcW w:w="433" w:type="pct"/>
            <w:tcBorders>
              <w:top w:val="nil"/>
              <w:left w:val="nil"/>
              <w:bottom w:val="single" w:sz="4" w:space="0" w:color="auto"/>
              <w:right w:val="nil"/>
            </w:tcBorders>
            <w:shd w:val="clear" w:color="auto" w:fill="auto"/>
            <w:noWrap/>
            <w:vAlign w:val="bottom"/>
            <w:hideMark/>
          </w:tcPr>
          <w:p w14:paraId="4A595AFA"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(0.00)</w:t>
            </w:r>
          </w:p>
        </w:tc>
        <w:tc>
          <w:tcPr>
            <w:tcW w:w="360" w:type="pct"/>
            <w:tcBorders>
              <w:top w:val="nil"/>
              <w:left w:val="nil"/>
              <w:bottom w:val="single" w:sz="4" w:space="0" w:color="auto"/>
              <w:right w:val="nil"/>
            </w:tcBorders>
            <w:shd w:val="clear" w:color="auto" w:fill="auto"/>
            <w:noWrap/>
            <w:vAlign w:val="bottom"/>
            <w:hideMark/>
          </w:tcPr>
          <w:p w14:paraId="6103FF5C"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c>
          <w:tcPr>
            <w:tcW w:w="331" w:type="pct"/>
            <w:tcBorders>
              <w:top w:val="nil"/>
              <w:left w:val="nil"/>
              <w:bottom w:val="single" w:sz="4" w:space="0" w:color="auto"/>
              <w:right w:val="nil"/>
            </w:tcBorders>
            <w:shd w:val="clear" w:color="auto" w:fill="auto"/>
            <w:noWrap/>
            <w:vAlign w:val="bottom"/>
            <w:hideMark/>
          </w:tcPr>
          <w:p w14:paraId="716864C1"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(0.14)</w:t>
            </w:r>
          </w:p>
        </w:tc>
        <w:tc>
          <w:tcPr>
            <w:tcW w:w="202" w:type="pct"/>
            <w:tcBorders>
              <w:top w:val="nil"/>
              <w:left w:val="nil"/>
              <w:bottom w:val="single" w:sz="4" w:space="0" w:color="auto"/>
              <w:right w:val="nil"/>
            </w:tcBorders>
            <w:shd w:val="clear" w:color="auto" w:fill="auto"/>
            <w:noWrap/>
            <w:vAlign w:val="bottom"/>
            <w:hideMark/>
          </w:tcPr>
          <w:p w14:paraId="4CEE3560" w14:textId="77777777" w:rsidR="00AA13C5" w:rsidRPr="00AA13C5" w:rsidRDefault="00AA13C5" w:rsidP="00AA13C5">
            <w:pPr>
              <w:spacing w:after="0" w:line="240" w:lineRule="auto"/>
              <w:jc w:val="right"/>
              <w:rPr>
                <w:rFonts w:eastAsia="Times New Roman"/>
                <w:color w:val="000000"/>
                <w:sz w:val="19"/>
                <w:szCs w:val="19"/>
                <w:lang w:eastAsia="en-AU"/>
              </w:rPr>
            </w:pPr>
            <w:r w:rsidRPr="00AA13C5">
              <w:rPr>
                <w:rFonts w:eastAsia="Times New Roman"/>
                <w:color w:val="000000"/>
                <w:sz w:val="19"/>
                <w:szCs w:val="19"/>
                <w:lang w:eastAsia="en-AU"/>
              </w:rPr>
              <w:t> </w:t>
            </w:r>
          </w:p>
        </w:tc>
      </w:tr>
    </w:tbl>
    <w:p w14:paraId="4FEC1AF7" w14:textId="60841D32" w:rsidR="00674637" w:rsidRPr="0064700B" w:rsidRDefault="00674637" w:rsidP="00777422">
      <w:pPr>
        <w:pStyle w:val="Notesourcetext"/>
        <w:sectPr w:rsidR="00674637" w:rsidRPr="0064700B" w:rsidSect="00FD7BAA">
          <w:pgSz w:w="16838" w:h="11906" w:orient="landscape"/>
          <w:pgMar w:top="1418" w:right="1247" w:bottom="1418" w:left="1418" w:header="510" w:footer="709" w:gutter="0"/>
          <w:cols w:space="708"/>
          <w:docGrid w:linePitch="360"/>
        </w:sectPr>
      </w:pPr>
      <w:r>
        <w:t xml:space="preserve">Note: </w:t>
      </w:r>
      <w:r w:rsidRPr="00803A86">
        <w:rPr>
          <w:b/>
        </w:rPr>
        <w:t>D0</w:t>
      </w:r>
      <w:r>
        <w:t xml:space="preserve"> = dummy for VIC Goulburn-Broken, </w:t>
      </w:r>
      <w:r w:rsidRPr="00803A86">
        <w:rPr>
          <w:b/>
        </w:rPr>
        <w:t>D1</w:t>
      </w:r>
      <w:r>
        <w:t xml:space="preserve"> = dummy for SA Murray, </w:t>
      </w:r>
      <w:r w:rsidRPr="00803A86">
        <w:rPr>
          <w:b/>
        </w:rPr>
        <w:t>D2</w:t>
      </w:r>
      <w:r>
        <w:t xml:space="preserve"> = dummy for VIC Loddon-Campaspe, </w:t>
      </w:r>
      <w:r w:rsidRPr="00803A86">
        <w:rPr>
          <w:b/>
        </w:rPr>
        <w:t xml:space="preserve">D3 </w:t>
      </w:r>
      <w:r>
        <w:t xml:space="preserve">= dummy for NSW Murray, </w:t>
      </w:r>
      <w:r w:rsidRPr="00803A86">
        <w:rPr>
          <w:b/>
        </w:rPr>
        <w:t>D4</w:t>
      </w:r>
      <w:r>
        <w:t xml:space="preserve"> = dummy for VIC Murray. </w:t>
      </w:r>
      <w:r w:rsidRPr="00803A86">
        <w:rPr>
          <w:b/>
        </w:rPr>
        <w:t>D Fruits</w:t>
      </w:r>
      <w:r>
        <w:t xml:space="preserve"> = interaction term with time for Fruits in the VIC Murray region</w:t>
      </w:r>
      <w:r w:rsidR="0064700B">
        <w:t xml:space="preserve">. </w:t>
      </w:r>
      <w:r w:rsidR="0064700B">
        <w:rPr>
          <w:b/>
        </w:rPr>
        <w:t xml:space="preserve">RP </w:t>
      </w:r>
      <w:r w:rsidR="0064700B">
        <w:t>= interaction term for rainfall and price for Grapevines and Other broadacre.</w:t>
      </w:r>
      <w:r w:rsidR="00EE68F9">
        <w:t xml:space="preserve"> * denotes significance at the 95% level</w:t>
      </w:r>
    </w:p>
    <w:p w14:paraId="2FD3509F" w14:textId="39424DFA" w:rsidR="002A434A" w:rsidRDefault="002A434A" w:rsidP="002A434A">
      <w:pPr>
        <w:pStyle w:val="BodyText1"/>
      </w:pPr>
      <w:r>
        <w:lastRenderedPageBreak/>
        <w:t xml:space="preserve">The water application rate </w:t>
      </w:r>
      <w:r w:rsidR="00674637">
        <w:t>is</w:t>
      </w:r>
      <w:r>
        <w:t xml:space="preserve"> combined with land use to estimate the corresponding total water use by region and by irrigation activity (equation 4). </w:t>
      </w:r>
      <w:r>
        <w:fldChar w:fldCharType="begin"/>
      </w:r>
      <w:r>
        <w:instrText xml:space="preserve"> REF _Ref486529161 \h </w:instrText>
      </w:r>
      <w:r>
        <w:fldChar w:fldCharType="separate"/>
      </w:r>
      <w:r w:rsidR="00F709AB" w:rsidRPr="006F5651">
        <w:t xml:space="preserve">Figure </w:t>
      </w:r>
      <w:r w:rsidR="00F709AB">
        <w:rPr>
          <w:noProof/>
        </w:rPr>
        <w:t>4</w:t>
      </w:r>
      <w:r>
        <w:fldChar w:fldCharType="end"/>
      </w:r>
      <w:r>
        <w:t xml:space="preserve"> shows the demand curve for water across all regions for each irrigation activity</w:t>
      </w:r>
      <w:r w:rsidR="00FB159B">
        <w:t xml:space="preserve"> (holding other predictors at sample average values)</w:t>
      </w:r>
      <w:r w:rsidR="00674637">
        <w:t xml:space="preserve">. As would be expected, </w:t>
      </w:r>
      <w:r w:rsidR="00C72CD9">
        <w:t>r</w:t>
      </w:r>
      <w:r>
        <w:t xml:space="preserve">ice, </w:t>
      </w:r>
      <w:r w:rsidR="00C72CD9">
        <w:t>o</w:t>
      </w:r>
      <w:r>
        <w:t xml:space="preserve">ther broadacre, </w:t>
      </w:r>
      <w:r w:rsidR="00C72CD9">
        <w:t>other crops and pastures – h</w:t>
      </w:r>
      <w:r>
        <w:t xml:space="preserve">ay are observed to be </w:t>
      </w:r>
      <w:r w:rsidR="00C72CD9">
        <w:t>relatively price elastic while fruits, grapevines and v</w:t>
      </w:r>
      <w:r>
        <w:t>egetables are relatively price inelastic.</w:t>
      </w:r>
    </w:p>
    <w:p w14:paraId="58C8A3E6" w14:textId="77777777" w:rsidR="00BB6B73" w:rsidRDefault="00294CE0" w:rsidP="00163270">
      <w:pPr>
        <w:pStyle w:val="Caption"/>
      </w:pPr>
      <w:bookmarkStart w:id="76" w:name="_Ref486529161"/>
      <w:bookmarkStart w:id="77" w:name="_Toc505345911"/>
      <w:r w:rsidRPr="006F5651">
        <w:t xml:space="preserve">Figure </w:t>
      </w:r>
      <w:r w:rsidR="00915ABD" w:rsidRPr="006F5651">
        <w:fldChar w:fldCharType="begin"/>
      </w:r>
      <w:r w:rsidRPr="006F5651">
        <w:instrText xml:space="preserve"> SEQ Figure \* ARABIC </w:instrText>
      </w:r>
      <w:r w:rsidR="00915ABD" w:rsidRPr="006F5651">
        <w:fldChar w:fldCharType="separate"/>
      </w:r>
      <w:r w:rsidR="00F709AB">
        <w:rPr>
          <w:noProof/>
        </w:rPr>
        <w:t>4</w:t>
      </w:r>
      <w:r w:rsidR="00915ABD" w:rsidRPr="006F5651">
        <w:rPr>
          <w:noProof/>
        </w:rPr>
        <w:fldChar w:fldCharType="end"/>
      </w:r>
      <w:bookmarkEnd w:id="76"/>
      <w:r w:rsidRPr="006F5651">
        <w:t xml:space="preserve"> Total water use as a function of water allocation price, by irrigation activity</w:t>
      </w:r>
      <w:bookmarkEnd w:id="77"/>
    </w:p>
    <w:p w14:paraId="24449AFA" w14:textId="37AC3B05" w:rsidR="00CD7D76" w:rsidRDefault="003105BA" w:rsidP="006F5651">
      <w:r>
        <w:rPr>
          <w:noProof/>
          <w:lang w:eastAsia="en-AU"/>
        </w:rPr>
        <w:drawing>
          <wp:inline distT="0" distB="0" distL="0" distR="0" wp14:anchorId="4CABB594" wp14:editId="6FA3FF15">
            <wp:extent cx="5745600" cy="3007873"/>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600" cy="3007873"/>
                    </a:xfrm>
                    <a:prstGeom prst="rect">
                      <a:avLst/>
                    </a:prstGeom>
                    <a:noFill/>
                  </pic:spPr>
                </pic:pic>
              </a:graphicData>
            </a:graphic>
          </wp:inline>
        </w:drawing>
      </w:r>
      <w:r w:rsidR="00CD7D76">
        <w:br/>
      </w:r>
    </w:p>
    <w:p w14:paraId="76FA3C4A" w14:textId="77777777" w:rsidR="007D4E9F" w:rsidRDefault="00C4031B" w:rsidP="00797B4F">
      <w:pPr>
        <w:pStyle w:val="BodyText1"/>
      </w:pPr>
      <w:r>
        <w:fldChar w:fldCharType="begin"/>
      </w:r>
      <w:r>
        <w:instrText xml:space="preserve"> REF _Ref486529173 \h </w:instrText>
      </w:r>
      <w:r>
        <w:fldChar w:fldCharType="separate"/>
      </w:r>
      <w:r w:rsidR="00F709AB" w:rsidRPr="006F5651">
        <w:t xml:space="preserve">Figure </w:t>
      </w:r>
      <w:r w:rsidR="00F709AB">
        <w:rPr>
          <w:noProof/>
        </w:rPr>
        <w:t>5</w:t>
      </w:r>
      <w:r>
        <w:fldChar w:fldCharType="end"/>
      </w:r>
      <w:r>
        <w:t xml:space="preserve"> </w:t>
      </w:r>
      <w:r w:rsidR="007D4E9F">
        <w:t xml:space="preserve">shows the </w:t>
      </w:r>
      <w:r w:rsidR="00FB159B">
        <w:t xml:space="preserve">corresponding </w:t>
      </w:r>
      <w:r w:rsidR="007D4E9F">
        <w:t xml:space="preserve">demand </w:t>
      </w:r>
      <w:r w:rsidR="00FB159B">
        <w:t>functions</w:t>
      </w:r>
      <w:r w:rsidR="007D4E9F">
        <w:t xml:space="preserve"> for water </w:t>
      </w:r>
      <w:r w:rsidR="00FB159B">
        <w:t xml:space="preserve">by </w:t>
      </w:r>
      <w:r w:rsidR="007D4E9F">
        <w:t>region.</w:t>
      </w:r>
      <w:r w:rsidR="00FB159B">
        <w:t xml:space="preserve"> NSW Murrumbidgee water demand is relatively elastic given the high proportion of Rice, while SA Murray is relatively inelastic given the high proportion of horticultural activity. </w:t>
      </w:r>
    </w:p>
    <w:p w14:paraId="78E7CA0E" w14:textId="77777777" w:rsidR="00294CE0" w:rsidRDefault="00294CE0" w:rsidP="00294CE0">
      <w:pPr>
        <w:pStyle w:val="Caption"/>
      </w:pPr>
      <w:bookmarkStart w:id="78" w:name="_Ref486529173"/>
      <w:bookmarkStart w:id="79" w:name="_Toc505345912"/>
      <w:r w:rsidRPr="006F5651">
        <w:t xml:space="preserve">Figure </w:t>
      </w:r>
      <w:r w:rsidR="00915ABD" w:rsidRPr="006F5651">
        <w:fldChar w:fldCharType="begin"/>
      </w:r>
      <w:r w:rsidRPr="006F5651">
        <w:instrText xml:space="preserve"> SEQ Figure \* ARABIC </w:instrText>
      </w:r>
      <w:r w:rsidR="00915ABD" w:rsidRPr="006F5651">
        <w:fldChar w:fldCharType="separate"/>
      </w:r>
      <w:r w:rsidR="00F709AB">
        <w:rPr>
          <w:noProof/>
        </w:rPr>
        <w:t>5</w:t>
      </w:r>
      <w:r w:rsidR="00915ABD" w:rsidRPr="006F5651">
        <w:rPr>
          <w:noProof/>
        </w:rPr>
        <w:fldChar w:fldCharType="end"/>
      </w:r>
      <w:bookmarkEnd w:id="78"/>
      <w:r w:rsidRPr="006F5651">
        <w:t xml:space="preserve"> Total water use as a function of water allocation price, by region</w:t>
      </w:r>
      <w:bookmarkEnd w:id="79"/>
    </w:p>
    <w:p w14:paraId="76504CBE" w14:textId="0C5D3654" w:rsidR="00DB533E" w:rsidRDefault="00DB533E" w:rsidP="00DB533E">
      <w:r>
        <w:rPr>
          <w:noProof/>
          <w:lang w:eastAsia="en-AU"/>
        </w:rPr>
        <w:drawing>
          <wp:inline distT="0" distB="0" distL="0" distR="0" wp14:anchorId="02F93BC0" wp14:editId="3B8A8886">
            <wp:extent cx="5745600" cy="3007873"/>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600" cy="3007873"/>
                    </a:xfrm>
                    <a:prstGeom prst="rect">
                      <a:avLst/>
                    </a:prstGeom>
                    <a:noFill/>
                  </pic:spPr>
                </pic:pic>
              </a:graphicData>
            </a:graphic>
          </wp:inline>
        </w:drawing>
      </w:r>
    </w:p>
    <w:p w14:paraId="721BCF9C" w14:textId="77777777" w:rsidR="00BE4AF8" w:rsidRDefault="00FB159B" w:rsidP="00FB159B">
      <w:pPr>
        <w:pStyle w:val="Heading2"/>
      </w:pPr>
      <w:bookmarkStart w:id="80" w:name="_Toc505345865"/>
      <w:r>
        <w:lastRenderedPageBreak/>
        <w:t>Water</w:t>
      </w:r>
      <w:r w:rsidR="00BE4AF8">
        <w:t xml:space="preserve"> demand </w:t>
      </w:r>
      <w:r>
        <w:t>in the</w:t>
      </w:r>
      <w:r w:rsidR="00BE4AF8">
        <w:t xml:space="preserve"> NSW Lower Darling</w:t>
      </w:r>
      <w:bookmarkEnd w:id="80"/>
    </w:p>
    <w:p w14:paraId="2FF88125" w14:textId="508ABAAD" w:rsidR="00BE4AF8" w:rsidRDefault="00FB159B" w:rsidP="00FB159B">
      <w:r>
        <w:t xml:space="preserve">Given the relatively small amount of irrigation activity in the NSW Lower-Darling region, and problems of measurement error in the available data (see Hughes, </w:t>
      </w:r>
      <w:r w:rsidR="00EF099E">
        <w:rPr>
          <w:rFonts w:cs="Cambria"/>
          <w:color w:val="auto"/>
          <w:lang w:eastAsia="en-AU"/>
        </w:rPr>
        <w:t>et al.</w:t>
      </w:r>
      <w:r>
        <w:rPr>
          <w:rFonts w:cs="Cambria"/>
          <w:color w:val="auto"/>
          <w:lang w:eastAsia="en-AU"/>
        </w:rPr>
        <w:t xml:space="preserve"> </w:t>
      </w:r>
      <w:r>
        <w:t xml:space="preserve">2016) reliable estimates could not be obtained using the models outlined above. Instead a single aggregate </w:t>
      </w:r>
      <w:r w:rsidR="00BE4AF8">
        <w:t>demand curve was fit for NSW Lower Darling</w:t>
      </w:r>
      <w:r>
        <w:t xml:space="preserve"> region</w:t>
      </w:r>
      <w:r w:rsidR="00BE4AF8">
        <w:t xml:space="preserve">. The specification for this is </w:t>
      </w:r>
      <w:r>
        <w:t>follows</w:t>
      </w:r>
      <w:r w:rsidR="00BE4AF8">
        <w:t xml:space="preserve"> </w:t>
      </w:r>
      <w:r w:rsidR="00BE4AF8">
        <w:rPr>
          <w:rFonts w:cs="Cambria"/>
          <w:color w:val="auto"/>
          <w:lang w:eastAsia="en-AU"/>
        </w:rPr>
        <w:t>Hughes</w:t>
      </w:r>
      <w:r w:rsidR="00EF099E">
        <w:rPr>
          <w:rFonts w:cs="Cambria"/>
          <w:color w:val="auto"/>
          <w:lang w:eastAsia="en-AU"/>
        </w:rPr>
        <w:t xml:space="preserve"> et al.</w:t>
      </w:r>
      <w:r w:rsidR="00BE4AF8">
        <w:rPr>
          <w:rFonts w:cs="Cambria"/>
          <w:color w:val="auto"/>
          <w:lang w:eastAsia="en-AU"/>
        </w:rPr>
        <w:t xml:space="preserve"> </w:t>
      </w:r>
      <w:r w:rsidR="00BE4AF8">
        <w:t>(2016) (equation 1</w:t>
      </w:r>
      <w:r>
        <w:t>2</w:t>
      </w:r>
      <w:r w:rsidR="00BE4AF8">
        <w:t xml:space="preserve">). The resulting model estimation is shown in </w:t>
      </w:r>
      <w:r w:rsidR="00BE4AF8">
        <w:fldChar w:fldCharType="begin"/>
      </w:r>
      <w:r w:rsidR="00BE4AF8">
        <w:instrText xml:space="preserve"> REF _Ref486528700 \h </w:instrText>
      </w:r>
      <w:r w:rsidR="00BE4AF8">
        <w:fldChar w:fldCharType="separate"/>
      </w:r>
      <w:r w:rsidR="00F709AB">
        <w:t xml:space="preserve">Table </w:t>
      </w:r>
      <w:r w:rsidR="00F709AB">
        <w:rPr>
          <w:noProof/>
        </w:rPr>
        <w:t>15</w:t>
      </w:r>
      <w:r w:rsidR="00BE4AF8">
        <w:fldChar w:fldCharType="end"/>
      </w:r>
      <w:r w:rsidR="00BE4AF8">
        <w:t>.</w:t>
      </w:r>
    </w:p>
    <w:p w14:paraId="6B7F2A73" w14:textId="77777777" w:rsidR="00BE4AF8" w:rsidRPr="003E59CC" w:rsidRDefault="00220589" w:rsidP="00BE4AF8">
      <m:oMathPara>
        <m:oMathParaPr>
          <m:jc m:val="center"/>
        </m:oMathParaPr>
        <m:oMath>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t</m:t>
                  </m:r>
                </m:sub>
              </m:sSub>
            </m:e>
          </m:func>
          <m:r>
            <w:rPr>
              <w:rFonts w:ascii="Cambria Math" w:hAnsi="Cambria Math"/>
            </w:rPr>
            <m:t>=</m:t>
          </m:r>
          <m:sSub>
            <m:sSubPr>
              <m:ctrlPr>
                <w:rPr>
                  <w:rFonts w:ascii="Cambria Math" w:hAnsi="Cambria Math"/>
                  <w:i/>
                </w:rPr>
              </m:ctrlPr>
            </m:sSubPr>
            <m:e>
              <m:r>
                <w:rPr>
                  <w:rFonts w:ascii="Cambria Math" w:hAnsi="Cambria Math"/>
                </w:rPr>
                <m:t>β</m:t>
              </m:r>
              <m:ctrlPr>
                <w:rPr>
                  <w:rFonts w:ascii="Cambria Math" w:hAnsi="Cambria Math"/>
                </w:rPr>
              </m:ctrlPr>
            </m:e>
            <m:sub>
              <m:r>
                <w:rPr>
                  <w:rFonts w:ascii="Cambria Math" w:hAnsi="Cambria Math"/>
                </w:rPr>
                <m:t>0</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β</m:t>
              </m:r>
              <m:ctrlPr>
                <w:rPr>
                  <w:rFonts w:ascii="Cambria Math" w:hAnsi="Cambria Math"/>
                </w:rPr>
              </m:ctrlPr>
            </m:e>
            <m:sub>
              <m:r>
                <w:rPr>
                  <w:rFonts w:ascii="Cambria Math" w:hAnsi="Cambria Math"/>
                </w:rPr>
                <m:t>1</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ctrlPr>
                <w:rPr>
                  <w:rFonts w:ascii="Cambria Math" w:hAnsi="Cambria Math"/>
                </w:rPr>
              </m:ctrlPr>
            </m:e>
            <m:sub>
              <m:r>
                <w:rPr>
                  <w:rFonts w:ascii="Cambria Math" w:hAnsi="Cambria Math"/>
                </w:rPr>
                <m:t>2</m:t>
              </m:r>
              <m:ctrlPr>
                <w:rPr>
                  <w:rFonts w:ascii="Cambria Math" w:hAnsi="Cambria Math"/>
                </w:rPr>
              </m:ctrlPr>
            </m:sub>
          </m:sSub>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  (12)</m:t>
          </m:r>
        </m:oMath>
      </m:oMathPara>
    </w:p>
    <w:p w14:paraId="088C7EF5" w14:textId="77777777" w:rsidR="00BE4AF8" w:rsidRDefault="00BE4AF8" w:rsidP="00BE4AF8">
      <w:pPr>
        <w:pStyle w:val="Caption"/>
      </w:pPr>
      <w:bookmarkStart w:id="81" w:name="_Ref486528700"/>
      <w:bookmarkStart w:id="82" w:name="_Toc491356910"/>
      <w:bookmarkStart w:id="83" w:name="_Toc505345898"/>
      <w:r>
        <w:t xml:space="preserve">Table </w:t>
      </w:r>
      <w:fldSimple w:instr=" SEQ Table \* ARABIC ">
        <w:r w:rsidR="00F709AB">
          <w:rPr>
            <w:noProof/>
          </w:rPr>
          <w:t>15</w:t>
        </w:r>
      </w:fldSimple>
      <w:bookmarkEnd w:id="81"/>
      <w:r>
        <w:t xml:space="preserve"> Regressions results for water allocation demand, NSW Lower Darling</w:t>
      </w:r>
      <w:bookmarkEnd w:id="82"/>
      <w:bookmarkEnd w:id="83"/>
    </w:p>
    <w:tbl>
      <w:tblPr>
        <w:tblW w:w="4605" w:type="pct"/>
        <w:tblLook w:val="04A0" w:firstRow="1" w:lastRow="0" w:firstColumn="1" w:lastColumn="0" w:noHBand="0" w:noVBand="1"/>
      </w:tblPr>
      <w:tblGrid>
        <w:gridCol w:w="2360"/>
        <w:gridCol w:w="1270"/>
        <w:gridCol w:w="2997"/>
        <w:gridCol w:w="1726"/>
      </w:tblGrid>
      <w:tr w:rsidR="00BE4AF8" w:rsidRPr="00670D13" w14:paraId="7CBC5028" w14:textId="77777777" w:rsidTr="0078209B">
        <w:trPr>
          <w:trHeight w:val="300"/>
        </w:trPr>
        <w:tc>
          <w:tcPr>
            <w:tcW w:w="1413" w:type="pct"/>
            <w:tcBorders>
              <w:top w:val="single" w:sz="4" w:space="0" w:color="auto"/>
              <w:left w:val="nil"/>
              <w:right w:val="nil"/>
            </w:tcBorders>
            <w:shd w:val="clear" w:color="auto" w:fill="auto"/>
            <w:noWrap/>
            <w:vAlign w:val="bottom"/>
            <w:hideMark/>
          </w:tcPr>
          <w:p w14:paraId="10EF362D" w14:textId="77777777" w:rsidR="00BE4AF8" w:rsidRPr="00670D13" w:rsidRDefault="00BE4AF8" w:rsidP="0078209B">
            <w:pPr>
              <w:pStyle w:val="Tabletext"/>
              <w:rPr>
                <w:b/>
                <w:lang w:eastAsia="en-AU"/>
              </w:rPr>
            </w:pPr>
            <w:r>
              <w:rPr>
                <w:b/>
                <w:lang w:eastAsia="en-AU"/>
              </w:rPr>
              <w:t>Dependant variable</w:t>
            </w:r>
          </w:p>
        </w:tc>
        <w:tc>
          <w:tcPr>
            <w:tcW w:w="760" w:type="pct"/>
            <w:tcBorders>
              <w:top w:val="single" w:sz="4" w:space="0" w:color="auto"/>
              <w:left w:val="nil"/>
              <w:right w:val="nil"/>
            </w:tcBorders>
            <w:shd w:val="clear" w:color="auto" w:fill="auto"/>
            <w:noWrap/>
            <w:vAlign w:val="bottom"/>
            <w:hideMark/>
          </w:tcPr>
          <w:p w14:paraId="43FE2687" w14:textId="77777777" w:rsidR="00BE4AF8" w:rsidRPr="00670D13" w:rsidRDefault="00BE4AF8" w:rsidP="0078209B">
            <w:pPr>
              <w:pStyle w:val="Tabletext"/>
              <w:jc w:val="right"/>
              <w:rPr>
                <w:b/>
                <w:lang w:eastAsia="en-AU"/>
              </w:rPr>
            </w:pPr>
            <w:r w:rsidRPr="00670D13">
              <w:rPr>
                <w:b/>
                <w:lang w:eastAsia="en-AU"/>
              </w:rPr>
              <w:t>Constant</w:t>
            </w:r>
          </w:p>
        </w:tc>
        <w:tc>
          <w:tcPr>
            <w:tcW w:w="1794" w:type="pct"/>
            <w:tcBorders>
              <w:top w:val="single" w:sz="4" w:space="0" w:color="auto"/>
              <w:left w:val="nil"/>
              <w:right w:val="nil"/>
            </w:tcBorders>
            <w:shd w:val="clear" w:color="auto" w:fill="auto"/>
            <w:noWrap/>
            <w:vAlign w:val="bottom"/>
            <w:hideMark/>
          </w:tcPr>
          <w:p w14:paraId="0818DC24" w14:textId="77777777" w:rsidR="00BE4AF8" w:rsidRPr="00670D13" w:rsidRDefault="006211B0" w:rsidP="006211B0">
            <w:pPr>
              <w:pStyle w:val="Tabletext"/>
              <w:jc w:val="right"/>
              <w:rPr>
                <w:b/>
                <w:lang w:eastAsia="en-AU"/>
              </w:rPr>
            </w:pPr>
            <w:r>
              <w:rPr>
                <w:b/>
                <w:lang w:eastAsia="en-AU"/>
              </w:rPr>
              <w:t>Allocation water use (A)</w:t>
            </w:r>
          </w:p>
        </w:tc>
        <w:tc>
          <w:tcPr>
            <w:tcW w:w="1033" w:type="pct"/>
            <w:tcBorders>
              <w:top w:val="single" w:sz="4" w:space="0" w:color="auto"/>
              <w:left w:val="nil"/>
              <w:right w:val="nil"/>
            </w:tcBorders>
            <w:shd w:val="clear" w:color="auto" w:fill="auto"/>
            <w:noWrap/>
            <w:vAlign w:val="bottom"/>
            <w:hideMark/>
          </w:tcPr>
          <w:p w14:paraId="3CC2156A" w14:textId="77777777" w:rsidR="00BE4AF8" w:rsidRPr="00670D13" w:rsidRDefault="00BE4AF8" w:rsidP="0078209B">
            <w:pPr>
              <w:pStyle w:val="Tabletext"/>
              <w:jc w:val="right"/>
              <w:rPr>
                <w:b/>
                <w:lang w:eastAsia="en-AU"/>
              </w:rPr>
            </w:pPr>
            <w:r>
              <w:rPr>
                <w:b/>
                <w:lang w:eastAsia="en-AU"/>
              </w:rPr>
              <w:t>Rainfall (R)</w:t>
            </w:r>
          </w:p>
        </w:tc>
      </w:tr>
      <w:tr w:rsidR="00BE4AF8" w:rsidRPr="00670D13" w14:paraId="78145D45" w14:textId="77777777" w:rsidTr="0078209B">
        <w:trPr>
          <w:trHeight w:val="300"/>
        </w:trPr>
        <w:tc>
          <w:tcPr>
            <w:tcW w:w="1413" w:type="pct"/>
            <w:tcBorders>
              <w:left w:val="nil"/>
              <w:bottom w:val="single" w:sz="4" w:space="0" w:color="auto"/>
              <w:right w:val="nil"/>
            </w:tcBorders>
            <w:shd w:val="clear" w:color="auto" w:fill="auto"/>
            <w:noWrap/>
            <w:vAlign w:val="bottom"/>
            <w:hideMark/>
          </w:tcPr>
          <w:p w14:paraId="5F5C07C3" w14:textId="77777777" w:rsidR="00BE4AF8" w:rsidRDefault="00BE4AF8" w:rsidP="0078209B">
            <w:pPr>
              <w:pStyle w:val="Tabletext"/>
              <w:rPr>
                <w:lang w:eastAsia="en-AU"/>
              </w:rPr>
            </w:pPr>
            <w:r>
              <w:rPr>
                <w:lang w:eastAsia="en-AU"/>
              </w:rPr>
              <w:t>log (Price)</w:t>
            </w:r>
          </w:p>
        </w:tc>
        <w:tc>
          <w:tcPr>
            <w:tcW w:w="760" w:type="pct"/>
            <w:tcBorders>
              <w:left w:val="nil"/>
              <w:bottom w:val="single" w:sz="4" w:space="0" w:color="auto"/>
              <w:right w:val="nil"/>
            </w:tcBorders>
            <w:shd w:val="clear" w:color="auto" w:fill="auto"/>
            <w:noWrap/>
            <w:vAlign w:val="bottom"/>
            <w:hideMark/>
          </w:tcPr>
          <w:p w14:paraId="68A2C025" w14:textId="77777777" w:rsidR="00BE4AF8" w:rsidRPr="00C06449" w:rsidRDefault="006211B0" w:rsidP="0078209B">
            <w:pPr>
              <w:pStyle w:val="Tabletext"/>
              <w:jc w:val="right"/>
              <w:rPr>
                <w:lang w:eastAsia="en-AU"/>
              </w:rPr>
            </w:pPr>
            <w:r>
              <w:rPr>
                <w:lang w:eastAsia="en-AU"/>
              </w:rPr>
              <w:t>4.52</w:t>
            </w:r>
          </w:p>
        </w:tc>
        <w:tc>
          <w:tcPr>
            <w:tcW w:w="1794" w:type="pct"/>
            <w:tcBorders>
              <w:left w:val="nil"/>
              <w:bottom w:val="single" w:sz="4" w:space="0" w:color="auto"/>
              <w:right w:val="nil"/>
            </w:tcBorders>
            <w:shd w:val="clear" w:color="auto" w:fill="auto"/>
            <w:noWrap/>
            <w:vAlign w:val="bottom"/>
            <w:hideMark/>
          </w:tcPr>
          <w:p w14:paraId="46B23265" w14:textId="77777777" w:rsidR="00BE4AF8" w:rsidRPr="00C06449" w:rsidRDefault="006211B0" w:rsidP="0078209B">
            <w:pPr>
              <w:pStyle w:val="Tabletext"/>
              <w:jc w:val="right"/>
              <w:rPr>
                <w:lang w:eastAsia="en-AU"/>
              </w:rPr>
            </w:pPr>
            <w:r>
              <w:rPr>
                <w:lang w:eastAsia="en-AU"/>
              </w:rPr>
              <w:t>-5.32</w:t>
            </w:r>
            <w:r w:rsidR="00BE4AF8" w:rsidRPr="00C06449">
              <w:rPr>
                <w:lang w:eastAsia="en-AU"/>
              </w:rPr>
              <w:t>E-06</w:t>
            </w:r>
          </w:p>
        </w:tc>
        <w:tc>
          <w:tcPr>
            <w:tcW w:w="1033" w:type="pct"/>
            <w:tcBorders>
              <w:left w:val="nil"/>
              <w:bottom w:val="single" w:sz="4" w:space="0" w:color="auto"/>
              <w:right w:val="nil"/>
            </w:tcBorders>
            <w:shd w:val="clear" w:color="auto" w:fill="auto"/>
            <w:noWrap/>
            <w:vAlign w:val="bottom"/>
            <w:hideMark/>
          </w:tcPr>
          <w:p w14:paraId="3D441632" w14:textId="77777777" w:rsidR="00BE4AF8" w:rsidRPr="00C06449" w:rsidRDefault="006211B0" w:rsidP="0078209B">
            <w:pPr>
              <w:pStyle w:val="Tabletext"/>
              <w:jc w:val="right"/>
              <w:rPr>
                <w:lang w:eastAsia="en-AU"/>
              </w:rPr>
            </w:pPr>
            <w:r>
              <w:rPr>
                <w:lang w:eastAsia="en-AU"/>
              </w:rPr>
              <w:t>-4.01</w:t>
            </w:r>
            <w:r w:rsidR="00BE4AF8" w:rsidRPr="00C06449">
              <w:rPr>
                <w:lang w:eastAsia="en-AU"/>
              </w:rPr>
              <w:t>E-04</w:t>
            </w:r>
          </w:p>
        </w:tc>
      </w:tr>
    </w:tbl>
    <w:p w14:paraId="404B097E" w14:textId="77777777" w:rsidR="00BE4AF8" w:rsidRDefault="00BE4AF8" w:rsidP="00777422">
      <w:pPr>
        <w:pStyle w:val="Notesourcetext"/>
      </w:pPr>
    </w:p>
    <w:p w14:paraId="19B7F022" w14:textId="7528608D" w:rsidR="002D5DBA" w:rsidRDefault="004566D1" w:rsidP="00FB159B">
      <w:pPr>
        <w:pStyle w:val="Heading2"/>
      </w:pPr>
      <w:bookmarkStart w:id="84" w:name="_Toc505345866"/>
      <w:r>
        <w:t>Other</w:t>
      </w:r>
      <w:r w:rsidR="002D5DBA">
        <w:t xml:space="preserve"> water</w:t>
      </w:r>
      <w:bookmarkEnd w:id="84"/>
    </w:p>
    <w:p w14:paraId="4083F529" w14:textId="52DFBAC7" w:rsidR="0079654D" w:rsidRDefault="00B17B5F" w:rsidP="0079654D">
      <w:pPr>
        <w:pStyle w:val="BodyText"/>
      </w:pPr>
      <w:r>
        <w:t>Net o</w:t>
      </w:r>
      <w:r w:rsidR="0079654D">
        <w:t>ther water is econometric</w:t>
      </w:r>
      <w:r w:rsidR="00804B30">
        <w:t xml:space="preserve">ally estimated </w:t>
      </w:r>
      <w:r w:rsidR="00EF099E">
        <w:t xml:space="preserve">according to </w:t>
      </w:r>
      <w:r w:rsidR="00804B30">
        <w:t>equation 13</w:t>
      </w:r>
      <w:r w:rsidR="0079654D">
        <w:t>:</w:t>
      </w:r>
    </w:p>
    <w:p w14:paraId="2160F133" w14:textId="4C2E34B9" w:rsidR="0079654D" w:rsidRPr="00804B30" w:rsidRDefault="00220589" w:rsidP="0079654D">
      <w:pPr>
        <w:pStyle w:val="BodyText"/>
        <w:spacing w:after="200"/>
      </w:pPr>
      <m:oMathPara>
        <m:oMathParaPr>
          <m:jc m:val="center"/>
        </m:oMathParaPr>
        <m:oMath>
          <m:sSub>
            <m:sSubPr>
              <m:ctrlPr>
                <w:rPr>
                  <w:rFonts w:ascii="Cambria Math" w:hAnsi="Cambria Math"/>
                </w:rPr>
              </m:ctrlPr>
            </m:sSubPr>
            <m:e>
              <m:acc>
                <m:accPr>
                  <m:ctrlPr>
                    <w:rPr>
                      <w:rFonts w:ascii="Cambria Math" w:hAnsi="Cambria Math"/>
                      <w:i/>
                    </w:rPr>
                  </m:ctrlPr>
                </m:accPr>
                <m:e>
                  <m:r>
                    <w:rPr>
                      <w:rFonts w:ascii="Cambria Math" w:hAnsi="Cambria Math"/>
                    </w:rPr>
                    <m:t>O</m:t>
                  </m:r>
                </m:e>
              </m:acc>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0i</m:t>
              </m:r>
            </m:sub>
            <m:sup>
              <m:r>
                <w:rPr>
                  <w:rFonts w:ascii="Cambria Math" w:hAnsi="Cambria Math"/>
                </w:rPr>
                <m:t>O</m:t>
              </m:r>
            </m:sup>
          </m:sSubSup>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1i</m:t>
              </m:r>
            </m:sub>
            <m:sup>
              <m:r>
                <w:rPr>
                  <w:rFonts w:ascii="Cambria Math" w:hAnsi="Cambria Math"/>
                </w:rPr>
                <m:t>O</m:t>
              </m:r>
            </m:sup>
          </m:sSubSup>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2i</m:t>
              </m:r>
            </m:sub>
            <m:sup>
              <m:r>
                <w:rPr>
                  <w:rFonts w:ascii="Cambria Math" w:hAnsi="Cambria Math"/>
                </w:rPr>
                <m:t>O</m:t>
              </m:r>
            </m:sup>
          </m:sSubSup>
          <m:sSub>
            <m:sSubPr>
              <m:ctrlPr>
                <w:rPr>
                  <w:rFonts w:ascii="Cambria Math" w:hAnsi="Cambria Math"/>
                </w:rPr>
              </m:ctrlPr>
            </m:sSubPr>
            <m:e>
              <m:r>
                <w:rPr>
                  <w:rFonts w:ascii="Cambria Math" w:hAnsi="Cambria Math"/>
                </w:rPr>
                <m:t>R</m:t>
              </m:r>
            </m:e>
            <m:sub>
              <m:r>
                <w:rPr>
                  <w:rFonts w:ascii="Cambria Math" w:hAnsi="Cambria Math"/>
                </w:rPr>
                <m:t>it</m:t>
              </m:r>
            </m:sub>
          </m:sSub>
          <m: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3i</m:t>
              </m:r>
            </m:sub>
            <m:sup>
              <m:r>
                <w:rPr>
                  <w:rFonts w:ascii="Cambria Math" w:hAnsi="Cambria Math"/>
                </w:rPr>
                <m:t>O</m:t>
              </m:r>
            </m:sup>
          </m:sSubSup>
          <m:r>
            <w:rPr>
              <w:rFonts w:ascii="Cambria Math" w:hAnsi="Cambria Math"/>
            </w:rPr>
            <m:t>.t+</m:t>
          </m:r>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 (13)</m:t>
          </m:r>
        </m:oMath>
      </m:oMathPara>
    </w:p>
    <w:p w14:paraId="1F11FA0F" w14:textId="77777777" w:rsidR="00804B30" w:rsidRPr="005A714F" w:rsidRDefault="00220589" w:rsidP="00804B30">
      <w:pPr>
        <w:pStyle w:val="BodyText"/>
      </w:pPr>
      <m:oMathPara>
        <m:oMathParaPr>
          <m:jc m:val="center"/>
        </m:oMathParaPr>
        <m:oMath>
          <m:sSubSup>
            <m:sSubSupPr>
              <m:ctrlPr>
                <w:rPr>
                  <w:rFonts w:ascii="Cambria Math" w:hAnsi="Cambria Math"/>
                </w:rPr>
              </m:ctrlPr>
            </m:sSubSupPr>
            <m:e>
              <m:r>
                <w:rPr>
                  <w:rFonts w:ascii="Cambria Math" w:hAnsi="Cambria Math"/>
                </w:rPr>
                <m:t>β</m:t>
              </m:r>
            </m:e>
            <m:sub>
              <m:r>
                <w:rPr>
                  <w:rFonts w:ascii="Cambria Math" w:hAnsi="Cambria Math"/>
                </w:rPr>
                <m:t>1i</m:t>
              </m:r>
            </m:sub>
            <m:sup>
              <m:r>
                <w:rPr>
                  <w:rFonts w:ascii="Cambria Math" w:hAnsi="Cambria Math"/>
                </w:rPr>
                <m:t>O</m:t>
              </m:r>
            </m:sup>
          </m:sSubSup>
          <m:r>
            <w:rPr>
              <w:rFonts w:ascii="Cambria Math" w:hAnsi="Cambria Math"/>
            </w:rPr>
            <m:t>&gt;0</m:t>
          </m:r>
        </m:oMath>
      </m:oMathPara>
    </w:p>
    <w:p w14:paraId="6CACEC9D" w14:textId="36E1FD8B" w:rsidR="005A714F" w:rsidRPr="00E94086" w:rsidRDefault="00220589" w:rsidP="008F3D63">
      <w:pPr>
        <w:pStyle w:val="BodyText"/>
        <w:spacing w:after="200"/>
      </w:pPr>
      <m:oMathPara>
        <m:oMathParaPr>
          <m:jc m:val="center"/>
        </m:oMathParaPr>
        <m:oMath>
          <m:sSub>
            <m:sSubPr>
              <m:ctrlPr>
                <w:rPr>
                  <w:rFonts w:ascii="Cambria Math" w:hAnsi="Cambria Math"/>
                </w:rPr>
              </m:ctrlPr>
            </m:sSubPr>
            <m:e>
              <m:r>
                <w:rPr>
                  <w:rFonts w:ascii="Cambria Math" w:hAnsi="Cambria Math"/>
                </w:rPr>
                <m:t>O</m:t>
              </m:r>
            </m:e>
            <m:sub>
              <m:r>
                <w:rPr>
                  <w:rFonts w:ascii="Cambria Math" w:hAnsi="Cambria Math"/>
                </w:rPr>
                <m:t>it</m:t>
              </m:r>
            </m:sub>
          </m:sSub>
          <m:r>
            <w:rPr>
              <w:rFonts w:ascii="Cambria Math" w:hAnsi="Cambria Math"/>
            </w:rPr>
            <m:t>=</m:t>
          </m:r>
          <m:sSub>
            <m:sSubPr>
              <m:ctrlPr>
                <w:rPr>
                  <w:rFonts w:ascii="Cambria Math" w:hAnsi="Cambria Math"/>
                </w:rPr>
              </m:ctrlPr>
            </m:sSubPr>
            <m:e>
              <m:acc>
                <m:accPr>
                  <m:ctrlPr>
                    <w:rPr>
                      <w:rFonts w:ascii="Cambria Math" w:hAnsi="Cambria Math"/>
                      <w:i/>
                    </w:rPr>
                  </m:ctrlPr>
                </m:accPr>
                <m:e>
                  <m:r>
                    <w:rPr>
                      <w:rFonts w:ascii="Cambria Math" w:hAnsi="Cambria Math"/>
                    </w:rPr>
                    <m:t>W</m:t>
                  </m:r>
                </m:e>
              </m:acc>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r>
            <w:rPr>
              <w:rFonts w:ascii="Cambria Math" w:hAnsi="Cambria Math"/>
            </w:rPr>
            <m:t>)  </m:t>
          </m:r>
        </m:oMath>
      </m:oMathPara>
    </w:p>
    <w:p w14:paraId="0FB2E4B3" w14:textId="06DDF2E1" w:rsidR="0079654D" w:rsidRPr="00202FFB" w:rsidRDefault="00B17B5F" w:rsidP="00804B30">
      <w:pPr>
        <w:pStyle w:val="BodyText"/>
      </w:pPr>
      <w:r>
        <w:t xml:space="preserve">where </w:t>
      </w:r>
      <m:oMath>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hAnsi="Cambria Math"/>
          </w:rPr>
          <m:t xml:space="preserve"> </m:t>
        </m:r>
      </m:oMath>
      <w:r>
        <w:t>is the regression residual term</w:t>
      </w:r>
      <w:r w:rsidR="005A714F">
        <w:t xml:space="preserve"> and </w:t>
      </w:r>
      <m:oMath>
        <m:sSub>
          <m:sSubPr>
            <m:ctrlPr>
              <w:rPr>
                <w:rFonts w:ascii="Cambria Math" w:hAnsi="Cambria Math"/>
              </w:rPr>
            </m:ctrlPr>
          </m:sSubPr>
          <m:e>
            <m:acc>
              <m:accPr>
                <m:ctrlPr>
                  <w:rPr>
                    <w:rFonts w:ascii="Cambria Math" w:hAnsi="Cambria Math"/>
                    <w:i/>
                  </w:rPr>
                </m:ctrlPr>
              </m:accPr>
              <m:e>
                <m:r>
                  <w:rPr>
                    <w:rFonts w:ascii="Cambria Math" w:hAnsi="Cambria Math"/>
                  </w:rPr>
                  <m:t>W</m:t>
                </m:r>
              </m:e>
            </m:acc>
          </m:e>
          <m:sub>
            <m:r>
              <w:rPr>
                <w:rFonts w:ascii="Cambria Math" w:hAnsi="Cambria Math"/>
              </w:rPr>
              <m:t>it</m:t>
            </m:r>
          </m:sub>
        </m:sSub>
      </m:oMath>
      <w:r w:rsidR="005A714F">
        <w:t xml:space="preserve"> is the model predicted water use level for region </w:t>
      </w:r>
      <w:r w:rsidR="005A714F">
        <w:rPr>
          <w:i/>
        </w:rPr>
        <w:t>i</w:t>
      </w:r>
      <w:r>
        <w:t>.</w:t>
      </w:r>
      <w:r w:rsidR="005A714F">
        <w:t xml:space="preserve"> </w:t>
      </w:r>
      <w:r w:rsidR="00644148">
        <w:t xml:space="preserve"> </w:t>
      </w:r>
      <w:r>
        <w:t xml:space="preserve">Within the model the residual term in this equation is included as a region and time specific constant. This approach is a pragmatic way of maximising the within sample fit of the model </w:t>
      </w:r>
      <w:r w:rsidR="00E1017B">
        <w:t>for</w:t>
      </w:r>
      <w:r>
        <w:t xml:space="preserve"> </w:t>
      </w:r>
      <w:r w:rsidR="00E1017B">
        <w:t xml:space="preserve">the </w:t>
      </w:r>
      <w:r>
        <w:t xml:space="preserve">baseline scenario (in the absence of </w:t>
      </w:r>
      <w:r w:rsidR="00E1017B">
        <w:t xml:space="preserve">a </w:t>
      </w:r>
      <w:r>
        <w:t>more formal structural estimation</w:t>
      </w:r>
      <w:r w:rsidR="00E1017B">
        <w:t xml:space="preserve"> method</w:t>
      </w:r>
      <w:r>
        <w:t xml:space="preserve">). </w:t>
      </w:r>
      <w:r w:rsidR="00E1017B">
        <w:t>Regression r</w:t>
      </w:r>
      <w:r w:rsidR="00804B30">
        <w:t xml:space="preserve">esults are presented in </w:t>
      </w:r>
      <w:r w:rsidR="00804B30">
        <w:fldChar w:fldCharType="begin"/>
      </w:r>
      <w:r w:rsidR="00804B30">
        <w:instrText xml:space="preserve"> REF _Ref486529216 \h </w:instrText>
      </w:r>
      <w:r w:rsidR="00804B30">
        <w:fldChar w:fldCharType="separate"/>
      </w:r>
      <w:r w:rsidR="00F709AB">
        <w:t xml:space="preserve">Table </w:t>
      </w:r>
      <w:r w:rsidR="00F709AB">
        <w:rPr>
          <w:noProof/>
        </w:rPr>
        <w:t>16</w:t>
      </w:r>
      <w:r w:rsidR="00804B30">
        <w:fldChar w:fldCharType="end"/>
      </w:r>
      <w:r w:rsidR="00804B30">
        <w:t xml:space="preserve">. </w:t>
      </w:r>
    </w:p>
    <w:p w14:paraId="5CFC52EF" w14:textId="77777777" w:rsidR="00C7794E" w:rsidRDefault="00C7794E" w:rsidP="00C7794E">
      <w:pPr>
        <w:pStyle w:val="Caption"/>
      </w:pPr>
      <w:bookmarkStart w:id="85" w:name="_Ref486529216"/>
      <w:bookmarkStart w:id="86" w:name="_Toc491356923"/>
      <w:bookmarkStart w:id="87" w:name="_Toc505345899"/>
      <w:r>
        <w:t xml:space="preserve">Table </w:t>
      </w:r>
      <w:r w:rsidR="00915ABD">
        <w:fldChar w:fldCharType="begin"/>
      </w:r>
      <w:r>
        <w:instrText xml:space="preserve"> SEQ Table \* ARABIC </w:instrText>
      </w:r>
      <w:r w:rsidR="00915ABD">
        <w:fldChar w:fldCharType="separate"/>
      </w:r>
      <w:r w:rsidR="00F709AB">
        <w:rPr>
          <w:noProof/>
        </w:rPr>
        <w:t>16</w:t>
      </w:r>
      <w:r w:rsidR="00915ABD">
        <w:fldChar w:fldCharType="end"/>
      </w:r>
      <w:bookmarkEnd w:id="85"/>
      <w:r>
        <w:t xml:space="preserve"> Regressions results for </w:t>
      </w:r>
      <w:r w:rsidR="004566D1">
        <w:t>other</w:t>
      </w:r>
      <w:r>
        <w:t xml:space="preserve"> water use, by region</w:t>
      </w:r>
      <w:bookmarkEnd w:id="86"/>
      <w:bookmarkEnd w:id="87"/>
    </w:p>
    <w:tbl>
      <w:tblPr>
        <w:tblW w:w="8660" w:type="dxa"/>
        <w:tblLook w:val="04A0" w:firstRow="1" w:lastRow="0" w:firstColumn="1" w:lastColumn="0" w:noHBand="0" w:noVBand="1"/>
      </w:tblPr>
      <w:tblGrid>
        <w:gridCol w:w="2420"/>
        <w:gridCol w:w="1320"/>
        <w:gridCol w:w="1320"/>
        <w:gridCol w:w="1320"/>
        <w:gridCol w:w="1320"/>
        <w:gridCol w:w="960"/>
      </w:tblGrid>
      <w:tr w:rsidR="00BF13BF" w:rsidRPr="00BF13BF" w14:paraId="42A46F40" w14:textId="77777777" w:rsidTr="00BF13BF">
        <w:trPr>
          <w:trHeight w:val="300"/>
        </w:trPr>
        <w:tc>
          <w:tcPr>
            <w:tcW w:w="2420" w:type="dxa"/>
            <w:tcBorders>
              <w:top w:val="single" w:sz="4" w:space="0" w:color="auto"/>
              <w:left w:val="nil"/>
              <w:bottom w:val="single" w:sz="4" w:space="0" w:color="auto"/>
              <w:right w:val="nil"/>
            </w:tcBorders>
            <w:shd w:val="clear" w:color="auto" w:fill="auto"/>
            <w:noWrap/>
            <w:vAlign w:val="center"/>
            <w:hideMark/>
          </w:tcPr>
          <w:p w14:paraId="10A2CC9D" w14:textId="77777777" w:rsidR="00BF13BF" w:rsidRPr="00BF13BF" w:rsidRDefault="00BF13BF" w:rsidP="00BF13BF">
            <w:pPr>
              <w:spacing w:after="0" w:line="240" w:lineRule="auto"/>
              <w:rPr>
                <w:rFonts w:eastAsia="Times New Roman"/>
                <w:b/>
                <w:bCs/>
                <w:color w:val="000000"/>
                <w:sz w:val="19"/>
                <w:szCs w:val="19"/>
                <w:lang w:eastAsia="en-AU"/>
              </w:rPr>
            </w:pPr>
            <w:r w:rsidRPr="00BF13BF">
              <w:rPr>
                <w:rFonts w:eastAsia="Times New Roman"/>
                <w:b/>
                <w:bCs/>
                <w:color w:val="000000"/>
                <w:sz w:val="19"/>
                <w:szCs w:val="19"/>
                <w:lang w:eastAsia="en-AU"/>
              </w:rPr>
              <w:t>Region</w:t>
            </w:r>
          </w:p>
        </w:tc>
        <w:tc>
          <w:tcPr>
            <w:tcW w:w="1320" w:type="dxa"/>
            <w:tcBorders>
              <w:top w:val="single" w:sz="4" w:space="0" w:color="auto"/>
              <w:left w:val="nil"/>
              <w:bottom w:val="single" w:sz="4" w:space="0" w:color="auto"/>
              <w:right w:val="nil"/>
            </w:tcBorders>
            <w:shd w:val="clear" w:color="auto" w:fill="auto"/>
            <w:vAlign w:val="center"/>
            <w:hideMark/>
          </w:tcPr>
          <w:p w14:paraId="50904A86" w14:textId="77777777" w:rsidR="00BF13BF" w:rsidRPr="00BF13BF" w:rsidRDefault="00BF13BF" w:rsidP="00BF13BF">
            <w:pPr>
              <w:spacing w:after="0" w:line="240" w:lineRule="auto"/>
              <w:jc w:val="right"/>
              <w:rPr>
                <w:rFonts w:eastAsia="Times New Roman"/>
                <w:b/>
                <w:bCs/>
                <w:color w:val="000000"/>
                <w:sz w:val="19"/>
                <w:szCs w:val="19"/>
                <w:lang w:eastAsia="en-AU"/>
              </w:rPr>
            </w:pPr>
            <w:r w:rsidRPr="00BF13BF">
              <w:rPr>
                <w:rFonts w:eastAsia="Times New Roman"/>
                <w:b/>
                <w:bCs/>
                <w:color w:val="000000"/>
                <w:sz w:val="19"/>
                <w:szCs w:val="19"/>
                <w:lang w:eastAsia="en-AU"/>
              </w:rPr>
              <w:t>Constant</w:t>
            </w:r>
          </w:p>
        </w:tc>
        <w:tc>
          <w:tcPr>
            <w:tcW w:w="1320" w:type="dxa"/>
            <w:tcBorders>
              <w:top w:val="single" w:sz="4" w:space="0" w:color="auto"/>
              <w:left w:val="nil"/>
              <w:bottom w:val="single" w:sz="4" w:space="0" w:color="auto"/>
              <w:right w:val="nil"/>
            </w:tcBorders>
            <w:shd w:val="clear" w:color="auto" w:fill="auto"/>
            <w:noWrap/>
            <w:vAlign w:val="center"/>
            <w:hideMark/>
          </w:tcPr>
          <w:p w14:paraId="4A87C5F4" w14:textId="77777777" w:rsidR="00BF13BF" w:rsidRPr="00BF13BF" w:rsidRDefault="00BF13BF" w:rsidP="00BF13BF">
            <w:pPr>
              <w:spacing w:after="0" w:line="240" w:lineRule="auto"/>
              <w:jc w:val="right"/>
              <w:rPr>
                <w:rFonts w:eastAsia="Times New Roman"/>
                <w:b/>
                <w:bCs/>
                <w:color w:val="000000"/>
                <w:sz w:val="19"/>
                <w:szCs w:val="19"/>
                <w:lang w:eastAsia="en-AU"/>
              </w:rPr>
            </w:pPr>
            <w:r w:rsidRPr="00BF13BF">
              <w:rPr>
                <w:rFonts w:eastAsia="Times New Roman"/>
                <w:b/>
                <w:bCs/>
                <w:color w:val="000000"/>
                <w:sz w:val="19"/>
                <w:szCs w:val="19"/>
                <w:lang w:eastAsia="en-AU"/>
              </w:rPr>
              <w:t>Price (P)</w:t>
            </w:r>
          </w:p>
        </w:tc>
        <w:tc>
          <w:tcPr>
            <w:tcW w:w="1320" w:type="dxa"/>
            <w:tcBorders>
              <w:top w:val="single" w:sz="4" w:space="0" w:color="auto"/>
              <w:left w:val="nil"/>
              <w:bottom w:val="single" w:sz="4" w:space="0" w:color="auto"/>
              <w:right w:val="nil"/>
            </w:tcBorders>
            <w:shd w:val="clear" w:color="auto" w:fill="auto"/>
            <w:noWrap/>
            <w:vAlign w:val="center"/>
            <w:hideMark/>
          </w:tcPr>
          <w:p w14:paraId="55C20239" w14:textId="77777777" w:rsidR="00BF13BF" w:rsidRPr="00BF13BF" w:rsidRDefault="00BF13BF" w:rsidP="00BF13BF">
            <w:pPr>
              <w:spacing w:after="0" w:line="240" w:lineRule="auto"/>
              <w:jc w:val="right"/>
              <w:rPr>
                <w:rFonts w:eastAsia="Times New Roman"/>
                <w:b/>
                <w:bCs/>
                <w:color w:val="000000"/>
                <w:sz w:val="19"/>
                <w:szCs w:val="19"/>
                <w:lang w:eastAsia="en-AU"/>
              </w:rPr>
            </w:pPr>
            <w:r w:rsidRPr="00BF13BF">
              <w:rPr>
                <w:rFonts w:eastAsia="Times New Roman"/>
                <w:b/>
                <w:bCs/>
                <w:color w:val="000000"/>
                <w:sz w:val="19"/>
                <w:szCs w:val="19"/>
                <w:lang w:eastAsia="en-AU"/>
              </w:rPr>
              <w:t>Rainfall (R)</w:t>
            </w:r>
          </w:p>
        </w:tc>
        <w:tc>
          <w:tcPr>
            <w:tcW w:w="1320" w:type="dxa"/>
            <w:tcBorders>
              <w:top w:val="single" w:sz="4" w:space="0" w:color="auto"/>
              <w:left w:val="nil"/>
              <w:bottom w:val="single" w:sz="4" w:space="0" w:color="auto"/>
              <w:right w:val="nil"/>
            </w:tcBorders>
            <w:shd w:val="clear" w:color="auto" w:fill="auto"/>
            <w:noWrap/>
            <w:vAlign w:val="center"/>
            <w:hideMark/>
          </w:tcPr>
          <w:p w14:paraId="0EDC23B8" w14:textId="77777777" w:rsidR="00BF13BF" w:rsidRPr="00BF13BF" w:rsidRDefault="00BF13BF" w:rsidP="00BF13BF">
            <w:pPr>
              <w:spacing w:after="0" w:line="240" w:lineRule="auto"/>
              <w:jc w:val="right"/>
              <w:rPr>
                <w:rFonts w:eastAsia="Times New Roman"/>
                <w:b/>
                <w:bCs/>
                <w:color w:val="000000"/>
                <w:sz w:val="19"/>
                <w:szCs w:val="19"/>
                <w:lang w:eastAsia="en-AU"/>
              </w:rPr>
            </w:pPr>
            <w:r w:rsidRPr="00BF13BF">
              <w:rPr>
                <w:rFonts w:eastAsia="Times New Roman"/>
                <w:b/>
                <w:bCs/>
                <w:color w:val="000000"/>
                <w:sz w:val="19"/>
                <w:szCs w:val="19"/>
                <w:lang w:eastAsia="en-AU"/>
              </w:rPr>
              <w:t>Time (t)</w:t>
            </w:r>
          </w:p>
        </w:tc>
        <w:tc>
          <w:tcPr>
            <w:tcW w:w="960" w:type="dxa"/>
            <w:tcBorders>
              <w:top w:val="single" w:sz="4" w:space="0" w:color="auto"/>
              <w:left w:val="nil"/>
              <w:bottom w:val="single" w:sz="4" w:space="0" w:color="auto"/>
              <w:right w:val="nil"/>
            </w:tcBorders>
            <w:shd w:val="clear" w:color="auto" w:fill="auto"/>
            <w:vAlign w:val="center"/>
            <w:hideMark/>
          </w:tcPr>
          <w:p w14:paraId="2E53099C" w14:textId="2AB42B86" w:rsidR="00BF13BF" w:rsidRPr="00BF13BF" w:rsidRDefault="00220589" w:rsidP="00BF13BF">
            <w:pPr>
              <w:spacing w:after="0" w:line="240" w:lineRule="auto"/>
              <w:jc w:val="right"/>
              <w:rPr>
                <w:rFonts w:eastAsia="Times New Roman"/>
                <w:b/>
                <w:bCs/>
                <w:color w:val="000000"/>
                <w:sz w:val="19"/>
                <w:szCs w:val="19"/>
                <w:lang w:eastAsia="en-AU"/>
              </w:rPr>
            </w:pPr>
            <m:oMath>
              <m:sSup>
                <m:sSupPr>
                  <m:ctrlPr>
                    <w:rPr>
                      <w:rFonts w:ascii="Cambria Math" w:hAnsi="Cambria Math"/>
                      <w:b/>
                      <w:i/>
                      <w:sz w:val="19"/>
                      <w:szCs w:val="19"/>
                    </w:rPr>
                  </m:ctrlPr>
                </m:sSupPr>
                <m:e>
                  <m:r>
                    <m:rPr>
                      <m:sty m:val="bi"/>
                    </m:rPr>
                    <w:rPr>
                      <w:rFonts w:ascii="Cambria Math" w:hAnsi="Cambria Math"/>
                      <w:sz w:val="19"/>
                      <w:szCs w:val="19"/>
                    </w:rPr>
                    <m:t>R</m:t>
                  </m:r>
                </m:e>
                <m:sup>
                  <m:r>
                    <m:rPr>
                      <m:sty m:val="bi"/>
                    </m:rPr>
                    <w:rPr>
                      <w:rFonts w:ascii="Cambria Math" w:hAnsi="Cambria Math"/>
                      <w:sz w:val="19"/>
                      <w:szCs w:val="19"/>
                    </w:rPr>
                    <m:t>2</m:t>
                  </m:r>
                </m:sup>
              </m:sSup>
            </m:oMath>
            <w:r w:rsidR="00BF13BF" w:rsidRPr="00BF13BF">
              <w:rPr>
                <w:rFonts w:eastAsia="Times New Roman"/>
                <w:b/>
                <w:bCs/>
                <w:color w:val="000000"/>
                <w:sz w:val="19"/>
                <w:szCs w:val="19"/>
                <w:lang w:eastAsia="en-AU"/>
              </w:rPr>
              <w:t> </w:t>
            </w:r>
          </w:p>
        </w:tc>
      </w:tr>
      <w:tr w:rsidR="00BF13BF" w:rsidRPr="00BF13BF" w14:paraId="30FE7BD7" w14:textId="77777777" w:rsidTr="00BF13BF">
        <w:trPr>
          <w:trHeight w:val="300"/>
        </w:trPr>
        <w:tc>
          <w:tcPr>
            <w:tcW w:w="2420" w:type="dxa"/>
            <w:tcBorders>
              <w:top w:val="nil"/>
              <w:left w:val="nil"/>
              <w:bottom w:val="nil"/>
              <w:right w:val="nil"/>
            </w:tcBorders>
            <w:shd w:val="clear" w:color="auto" w:fill="auto"/>
            <w:noWrap/>
            <w:vAlign w:val="bottom"/>
            <w:hideMark/>
          </w:tcPr>
          <w:p w14:paraId="394CD253"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VIC Murray Above</w:t>
            </w:r>
          </w:p>
        </w:tc>
        <w:tc>
          <w:tcPr>
            <w:tcW w:w="1320" w:type="dxa"/>
            <w:tcBorders>
              <w:top w:val="nil"/>
              <w:left w:val="nil"/>
              <w:bottom w:val="nil"/>
              <w:right w:val="nil"/>
            </w:tcBorders>
            <w:shd w:val="clear" w:color="auto" w:fill="auto"/>
            <w:noWrap/>
            <w:vAlign w:val="center"/>
            <w:hideMark/>
          </w:tcPr>
          <w:p w14:paraId="532D9F7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-555842.2*</w:t>
            </w:r>
          </w:p>
        </w:tc>
        <w:tc>
          <w:tcPr>
            <w:tcW w:w="1320" w:type="dxa"/>
            <w:tcBorders>
              <w:top w:val="nil"/>
              <w:left w:val="nil"/>
              <w:bottom w:val="nil"/>
              <w:right w:val="nil"/>
            </w:tcBorders>
            <w:shd w:val="clear" w:color="auto" w:fill="auto"/>
            <w:noWrap/>
            <w:vAlign w:val="center"/>
            <w:hideMark/>
          </w:tcPr>
          <w:p w14:paraId="184B152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492.6*</w:t>
            </w:r>
          </w:p>
        </w:tc>
        <w:tc>
          <w:tcPr>
            <w:tcW w:w="1320" w:type="dxa"/>
            <w:tcBorders>
              <w:top w:val="nil"/>
              <w:left w:val="nil"/>
              <w:bottom w:val="nil"/>
              <w:right w:val="nil"/>
            </w:tcBorders>
            <w:shd w:val="clear" w:color="auto" w:fill="auto"/>
            <w:noWrap/>
            <w:vAlign w:val="center"/>
            <w:hideMark/>
          </w:tcPr>
          <w:p w14:paraId="13778E9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346.2*</w:t>
            </w:r>
          </w:p>
        </w:tc>
        <w:tc>
          <w:tcPr>
            <w:tcW w:w="1320" w:type="dxa"/>
            <w:tcBorders>
              <w:top w:val="nil"/>
              <w:left w:val="nil"/>
              <w:bottom w:val="nil"/>
              <w:right w:val="nil"/>
            </w:tcBorders>
            <w:shd w:val="clear" w:color="auto" w:fill="auto"/>
            <w:noWrap/>
            <w:vAlign w:val="center"/>
            <w:hideMark/>
          </w:tcPr>
          <w:p w14:paraId="6CA57E95"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12864.1*</w:t>
            </w:r>
          </w:p>
        </w:tc>
        <w:tc>
          <w:tcPr>
            <w:tcW w:w="960" w:type="dxa"/>
            <w:tcBorders>
              <w:top w:val="nil"/>
              <w:left w:val="nil"/>
              <w:bottom w:val="nil"/>
              <w:right w:val="nil"/>
            </w:tcBorders>
            <w:shd w:val="clear" w:color="auto" w:fill="auto"/>
            <w:noWrap/>
            <w:vAlign w:val="center"/>
            <w:hideMark/>
          </w:tcPr>
          <w:p w14:paraId="23F60A8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0.79</w:t>
            </w:r>
          </w:p>
        </w:tc>
      </w:tr>
      <w:tr w:rsidR="00BF13BF" w:rsidRPr="00BF13BF" w14:paraId="7E4B0E6D" w14:textId="77777777" w:rsidTr="00BF13BF">
        <w:trPr>
          <w:trHeight w:val="300"/>
        </w:trPr>
        <w:tc>
          <w:tcPr>
            <w:tcW w:w="2420" w:type="dxa"/>
            <w:tcBorders>
              <w:top w:val="nil"/>
              <w:left w:val="nil"/>
              <w:bottom w:val="nil"/>
              <w:right w:val="nil"/>
            </w:tcBorders>
            <w:shd w:val="clear" w:color="auto" w:fill="auto"/>
            <w:noWrap/>
            <w:vAlign w:val="bottom"/>
            <w:hideMark/>
          </w:tcPr>
          <w:p w14:paraId="2DE1B3AF"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46B70C7A"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nil"/>
              <w:right w:val="nil"/>
            </w:tcBorders>
            <w:shd w:val="clear" w:color="auto" w:fill="auto"/>
            <w:noWrap/>
            <w:vAlign w:val="center"/>
            <w:hideMark/>
          </w:tcPr>
          <w:p w14:paraId="77667E3B"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nil"/>
              <w:right w:val="nil"/>
            </w:tcBorders>
            <w:shd w:val="clear" w:color="auto" w:fill="auto"/>
            <w:noWrap/>
            <w:vAlign w:val="center"/>
            <w:hideMark/>
          </w:tcPr>
          <w:p w14:paraId="32059C70"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(0.01)</w:t>
            </w:r>
          </w:p>
        </w:tc>
        <w:tc>
          <w:tcPr>
            <w:tcW w:w="1320" w:type="dxa"/>
            <w:tcBorders>
              <w:top w:val="nil"/>
              <w:left w:val="nil"/>
              <w:bottom w:val="nil"/>
              <w:right w:val="nil"/>
            </w:tcBorders>
            <w:shd w:val="clear" w:color="auto" w:fill="auto"/>
            <w:noWrap/>
            <w:vAlign w:val="center"/>
            <w:hideMark/>
          </w:tcPr>
          <w:p w14:paraId="1C4F4A0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(0.01)</w:t>
            </w:r>
          </w:p>
        </w:tc>
        <w:tc>
          <w:tcPr>
            <w:tcW w:w="960" w:type="dxa"/>
            <w:tcBorders>
              <w:top w:val="nil"/>
              <w:left w:val="nil"/>
              <w:bottom w:val="nil"/>
              <w:right w:val="nil"/>
            </w:tcBorders>
            <w:shd w:val="clear" w:color="auto" w:fill="auto"/>
            <w:noWrap/>
            <w:vAlign w:val="center"/>
            <w:hideMark/>
          </w:tcPr>
          <w:p w14:paraId="28D7EA7A"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724751F5" w14:textId="77777777" w:rsidTr="00BF13BF">
        <w:trPr>
          <w:trHeight w:val="300"/>
        </w:trPr>
        <w:tc>
          <w:tcPr>
            <w:tcW w:w="2420" w:type="dxa"/>
            <w:tcBorders>
              <w:top w:val="nil"/>
              <w:left w:val="nil"/>
              <w:bottom w:val="nil"/>
              <w:right w:val="nil"/>
            </w:tcBorders>
            <w:shd w:val="clear" w:color="auto" w:fill="auto"/>
            <w:noWrap/>
            <w:vAlign w:val="bottom"/>
            <w:hideMark/>
          </w:tcPr>
          <w:p w14:paraId="20757013"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VIC Murray Below</w:t>
            </w:r>
          </w:p>
        </w:tc>
        <w:tc>
          <w:tcPr>
            <w:tcW w:w="1320" w:type="dxa"/>
            <w:tcBorders>
              <w:top w:val="nil"/>
              <w:left w:val="nil"/>
              <w:bottom w:val="nil"/>
              <w:right w:val="nil"/>
            </w:tcBorders>
            <w:shd w:val="clear" w:color="auto" w:fill="auto"/>
            <w:noWrap/>
            <w:vAlign w:val="center"/>
            <w:hideMark/>
          </w:tcPr>
          <w:p w14:paraId="545941C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-765222.8*</w:t>
            </w:r>
          </w:p>
        </w:tc>
        <w:tc>
          <w:tcPr>
            <w:tcW w:w="1320" w:type="dxa"/>
            <w:tcBorders>
              <w:top w:val="nil"/>
              <w:left w:val="nil"/>
              <w:bottom w:val="nil"/>
              <w:right w:val="nil"/>
            </w:tcBorders>
            <w:shd w:val="clear" w:color="auto" w:fill="auto"/>
            <w:noWrap/>
            <w:vAlign w:val="center"/>
            <w:hideMark/>
          </w:tcPr>
          <w:p w14:paraId="7F3D1D98"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626.5*</w:t>
            </w:r>
          </w:p>
        </w:tc>
        <w:tc>
          <w:tcPr>
            <w:tcW w:w="1320" w:type="dxa"/>
            <w:tcBorders>
              <w:top w:val="nil"/>
              <w:left w:val="nil"/>
              <w:bottom w:val="nil"/>
              <w:right w:val="nil"/>
            </w:tcBorders>
            <w:shd w:val="clear" w:color="auto" w:fill="auto"/>
            <w:noWrap/>
            <w:vAlign w:val="center"/>
            <w:hideMark/>
          </w:tcPr>
          <w:p w14:paraId="66A55A2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757.7*</w:t>
            </w:r>
          </w:p>
        </w:tc>
        <w:tc>
          <w:tcPr>
            <w:tcW w:w="1320" w:type="dxa"/>
            <w:tcBorders>
              <w:top w:val="nil"/>
              <w:left w:val="nil"/>
              <w:bottom w:val="nil"/>
              <w:right w:val="nil"/>
            </w:tcBorders>
            <w:shd w:val="clear" w:color="auto" w:fill="auto"/>
            <w:noWrap/>
            <w:vAlign w:val="center"/>
            <w:hideMark/>
          </w:tcPr>
          <w:p w14:paraId="7080C02B"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50379.5*</w:t>
            </w:r>
          </w:p>
        </w:tc>
        <w:tc>
          <w:tcPr>
            <w:tcW w:w="960" w:type="dxa"/>
            <w:tcBorders>
              <w:top w:val="nil"/>
              <w:left w:val="nil"/>
              <w:bottom w:val="nil"/>
              <w:right w:val="nil"/>
            </w:tcBorders>
            <w:shd w:val="clear" w:color="auto" w:fill="auto"/>
            <w:noWrap/>
            <w:vAlign w:val="center"/>
            <w:hideMark/>
          </w:tcPr>
          <w:p w14:paraId="16591355"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0.84</w:t>
            </w:r>
          </w:p>
        </w:tc>
      </w:tr>
      <w:tr w:rsidR="00BF13BF" w:rsidRPr="00BF13BF" w14:paraId="72A35038" w14:textId="77777777" w:rsidTr="00BF13BF">
        <w:trPr>
          <w:trHeight w:val="300"/>
        </w:trPr>
        <w:tc>
          <w:tcPr>
            <w:tcW w:w="2420" w:type="dxa"/>
            <w:tcBorders>
              <w:top w:val="nil"/>
              <w:left w:val="nil"/>
              <w:bottom w:val="nil"/>
              <w:right w:val="nil"/>
            </w:tcBorders>
            <w:shd w:val="clear" w:color="auto" w:fill="auto"/>
            <w:noWrap/>
            <w:vAlign w:val="bottom"/>
            <w:hideMark/>
          </w:tcPr>
          <w:p w14:paraId="3520190B"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2B6D8A5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nil"/>
              <w:right w:val="nil"/>
            </w:tcBorders>
            <w:shd w:val="clear" w:color="auto" w:fill="auto"/>
            <w:noWrap/>
            <w:vAlign w:val="center"/>
            <w:hideMark/>
          </w:tcPr>
          <w:p w14:paraId="2461398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(0.01)</w:t>
            </w:r>
          </w:p>
        </w:tc>
        <w:tc>
          <w:tcPr>
            <w:tcW w:w="1320" w:type="dxa"/>
            <w:tcBorders>
              <w:top w:val="nil"/>
              <w:left w:val="nil"/>
              <w:bottom w:val="nil"/>
              <w:right w:val="nil"/>
            </w:tcBorders>
            <w:shd w:val="clear" w:color="auto" w:fill="auto"/>
            <w:noWrap/>
            <w:vAlign w:val="center"/>
            <w:hideMark/>
          </w:tcPr>
          <w:p w14:paraId="40E87E3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(0.01)</w:t>
            </w:r>
          </w:p>
        </w:tc>
        <w:tc>
          <w:tcPr>
            <w:tcW w:w="1320" w:type="dxa"/>
            <w:tcBorders>
              <w:top w:val="nil"/>
              <w:left w:val="nil"/>
              <w:bottom w:val="nil"/>
              <w:right w:val="nil"/>
            </w:tcBorders>
            <w:shd w:val="clear" w:color="auto" w:fill="auto"/>
            <w:noWrap/>
            <w:vAlign w:val="center"/>
            <w:hideMark/>
          </w:tcPr>
          <w:p w14:paraId="323E7765"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960" w:type="dxa"/>
            <w:tcBorders>
              <w:top w:val="nil"/>
              <w:left w:val="nil"/>
              <w:bottom w:val="nil"/>
              <w:right w:val="nil"/>
            </w:tcBorders>
            <w:shd w:val="clear" w:color="auto" w:fill="auto"/>
            <w:noWrap/>
            <w:vAlign w:val="center"/>
            <w:hideMark/>
          </w:tcPr>
          <w:p w14:paraId="217723C0"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0664707B" w14:textId="77777777" w:rsidTr="00BF13BF">
        <w:trPr>
          <w:trHeight w:val="300"/>
        </w:trPr>
        <w:tc>
          <w:tcPr>
            <w:tcW w:w="2420" w:type="dxa"/>
            <w:tcBorders>
              <w:top w:val="nil"/>
              <w:left w:val="nil"/>
              <w:bottom w:val="nil"/>
              <w:right w:val="nil"/>
            </w:tcBorders>
            <w:shd w:val="clear" w:color="auto" w:fill="auto"/>
            <w:noWrap/>
            <w:vAlign w:val="bottom"/>
            <w:hideMark/>
          </w:tcPr>
          <w:p w14:paraId="7E495B84"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VIC Goulburn-Broken</w:t>
            </w:r>
          </w:p>
        </w:tc>
        <w:tc>
          <w:tcPr>
            <w:tcW w:w="1320" w:type="dxa"/>
            <w:tcBorders>
              <w:top w:val="nil"/>
              <w:left w:val="nil"/>
              <w:bottom w:val="nil"/>
              <w:right w:val="nil"/>
            </w:tcBorders>
            <w:shd w:val="clear" w:color="auto" w:fill="auto"/>
            <w:noWrap/>
            <w:vAlign w:val="center"/>
            <w:hideMark/>
          </w:tcPr>
          <w:p w14:paraId="5F48DBCD"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-240955.9</w:t>
            </w:r>
          </w:p>
        </w:tc>
        <w:tc>
          <w:tcPr>
            <w:tcW w:w="1320" w:type="dxa"/>
            <w:tcBorders>
              <w:top w:val="nil"/>
              <w:left w:val="nil"/>
              <w:bottom w:val="nil"/>
              <w:right w:val="nil"/>
            </w:tcBorders>
            <w:shd w:val="clear" w:color="auto" w:fill="auto"/>
            <w:noWrap/>
            <w:vAlign w:val="center"/>
            <w:hideMark/>
          </w:tcPr>
          <w:p w14:paraId="09252343"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302.3</w:t>
            </w:r>
          </w:p>
        </w:tc>
        <w:tc>
          <w:tcPr>
            <w:tcW w:w="1320" w:type="dxa"/>
            <w:tcBorders>
              <w:top w:val="nil"/>
              <w:left w:val="nil"/>
              <w:bottom w:val="nil"/>
              <w:right w:val="nil"/>
            </w:tcBorders>
            <w:shd w:val="clear" w:color="auto" w:fill="auto"/>
            <w:noWrap/>
            <w:vAlign w:val="center"/>
            <w:hideMark/>
          </w:tcPr>
          <w:p w14:paraId="70C6885F"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147.8</w:t>
            </w:r>
          </w:p>
        </w:tc>
        <w:tc>
          <w:tcPr>
            <w:tcW w:w="1320" w:type="dxa"/>
            <w:tcBorders>
              <w:top w:val="nil"/>
              <w:left w:val="nil"/>
              <w:bottom w:val="nil"/>
              <w:right w:val="nil"/>
            </w:tcBorders>
            <w:shd w:val="clear" w:color="auto" w:fill="auto"/>
            <w:noWrap/>
            <w:vAlign w:val="center"/>
            <w:hideMark/>
          </w:tcPr>
          <w:p w14:paraId="0B6A85D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28623.6*</w:t>
            </w:r>
          </w:p>
        </w:tc>
        <w:tc>
          <w:tcPr>
            <w:tcW w:w="960" w:type="dxa"/>
            <w:tcBorders>
              <w:top w:val="nil"/>
              <w:left w:val="nil"/>
              <w:bottom w:val="nil"/>
              <w:right w:val="nil"/>
            </w:tcBorders>
            <w:shd w:val="clear" w:color="auto" w:fill="auto"/>
            <w:noWrap/>
            <w:vAlign w:val="center"/>
            <w:hideMark/>
          </w:tcPr>
          <w:p w14:paraId="109D8783"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0.64</w:t>
            </w:r>
          </w:p>
        </w:tc>
      </w:tr>
      <w:tr w:rsidR="00BF13BF" w:rsidRPr="00BF13BF" w14:paraId="51BA3BF6" w14:textId="77777777" w:rsidTr="00BF13BF">
        <w:trPr>
          <w:trHeight w:val="300"/>
        </w:trPr>
        <w:tc>
          <w:tcPr>
            <w:tcW w:w="2420" w:type="dxa"/>
            <w:tcBorders>
              <w:top w:val="nil"/>
              <w:left w:val="nil"/>
              <w:bottom w:val="nil"/>
              <w:right w:val="nil"/>
            </w:tcBorders>
            <w:shd w:val="clear" w:color="auto" w:fill="auto"/>
            <w:noWrap/>
            <w:vAlign w:val="bottom"/>
            <w:hideMark/>
          </w:tcPr>
          <w:p w14:paraId="563BC186"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4D7C1D47"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(0.08)</w:t>
            </w:r>
          </w:p>
        </w:tc>
        <w:tc>
          <w:tcPr>
            <w:tcW w:w="1320" w:type="dxa"/>
            <w:tcBorders>
              <w:top w:val="nil"/>
              <w:left w:val="nil"/>
              <w:bottom w:val="nil"/>
              <w:right w:val="nil"/>
            </w:tcBorders>
            <w:shd w:val="clear" w:color="auto" w:fill="auto"/>
            <w:noWrap/>
            <w:vAlign w:val="center"/>
            <w:hideMark/>
          </w:tcPr>
          <w:p w14:paraId="2D7C0057"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(0.06)</w:t>
            </w:r>
          </w:p>
        </w:tc>
        <w:tc>
          <w:tcPr>
            <w:tcW w:w="1320" w:type="dxa"/>
            <w:tcBorders>
              <w:top w:val="nil"/>
              <w:left w:val="nil"/>
              <w:bottom w:val="nil"/>
              <w:right w:val="nil"/>
            </w:tcBorders>
            <w:shd w:val="clear" w:color="auto" w:fill="auto"/>
            <w:noWrap/>
            <w:vAlign w:val="center"/>
            <w:hideMark/>
          </w:tcPr>
          <w:p w14:paraId="0925D16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(0.48)</w:t>
            </w:r>
          </w:p>
        </w:tc>
        <w:tc>
          <w:tcPr>
            <w:tcW w:w="1320" w:type="dxa"/>
            <w:tcBorders>
              <w:top w:val="nil"/>
              <w:left w:val="nil"/>
              <w:bottom w:val="nil"/>
              <w:right w:val="nil"/>
            </w:tcBorders>
            <w:shd w:val="clear" w:color="auto" w:fill="auto"/>
            <w:noWrap/>
            <w:vAlign w:val="center"/>
            <w:hideMark/>
          </w:tcPr>
          <w:p w14:paraId="0ADE9D42"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960" w:type="dxa"/>
            <w:tcBorders>
              <w:top w:val="nil"/>
              <w:left w:val="nil"/>
              <w:bottom w:val="nil"/>
              <w:right w:val="nil"/>
            </w:tcBorders>
            <w:shd w:val="clear" w:color="auto" w:fill="auto"/>
            <w:noWrap/>
            <w:vAlign w:val="center"/>
            <w:hideMark/>
          </w:tcPr>
          <w:p w14:paraId="19439BBC"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3D0CD77C" w14:textId="77777777" w:rsidTr="00BF13BF">
        <w:trPr>
          <w:trHeight w:val="300"/>
        </w:trPr>
        <w:tc>
          <w:tcPr>
            <w:tcW w:w="2420" w:type="dxa"/>
            <w:tcBorders>
              <w:top w:val="nil"/>
              <w:left w:val="nil"/>
              <w:bottom w:val="nil"/>
              <w:right w:val="nil"/>
            </w:tcBorders>
            <w:shd w:val="clear" w:color="auto" w:fill="auto"/>
            <w:noWrap/>
            <w:vAlign w:val="bottom"/>
            <w:hideMark/>
          </w:tcPr>
          <w:p w14:paraId="709B1CD6"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VIC Loddon-Campaspe</w:t>
            </w:r>
          </w:p>
        </w:tc>
        <w:tc>
          <w:tcPr>
            <w:tcW w:w="1320" w:type="dxa"/>
            <w:tcBorders>
              <w:top w:val="nil"/>
              <w:left w:val="nil"/>
              <w:bottom w:val="nil"/>
              <w:right w:val="nil"/>
            </w:tcBorders>
            <w:shd w:val="clear" w:color="auto" w:fill="auto"/>
            <w:noWrap/>
            <w:vAlign w:val="center"/>
            <w:hideMark/>
          </w:tcPr>
          <w:p w14:paraId="09AE4118"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84946.0*</w:t>
            </w:r>
          </w:p>
        </w:tc>
        <w:tc>
          <w:tcPr>
            <w:tcW w:w="1320" w:type="dxa"/>
            <w:tcBorders>
              <w:top w:val="nil"/>
              <w:left w:val="nil"/>
              <w:bottom w:val="nil"/>
              <w:right w:val="nil"/>
            </w:tcBorders>
            <w:shd w:val="clear" w:color="auto" w:fill="auto"/>
            <w:noWrap/>
            <w:vAlign w:val="center"/>
          </w:tcPr>
          <w:p w14:paraId="7D03F93A" w14:textId="5CF67025"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1C7D192A"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-67.9</w:t>
            </w:r>
          </w:p>
        </w:tc>
        <w:tc>
          <w:tcPr>
            <w:tcW w:w="1320" w:type="dxa"/>
            <w:tcBorders>
              <w:top w:val="nil"/>
              <w:left w:val="nil"/>
              <w:bottom w:val="nil"/>
              <w:right w:val="nil"/>
            </w:tcBorders>
            <w:shd w:val="clear" w:color="auto" w:fill="auto"/>
            <w:noWrap/>
            <w:vAlign w:val="center"/>
            <w:hideMark/>
          </w:tcPr>
          <w:p w14:paraId="063B13BD"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-48.6</w:t>
            </w:r>
          </w:p>
        </w:tc>
        <w:tc>
          <w:tcPr>
            <w:tcW w:w="960" w:type="dxa"/>
            <w:tcBorders>
              <w:top w:val="nil"/>
              <w:left w:val="nil"/>
              <w:bottom w:val="nil"/>
              <w:right w:val="nil"/>
            </w:tcBorders>
            <w:shd w:val="clear" w:color="auto" w:fill="auto"/>
            <w:noWrap/>
            <w:vAlign w:val="center"/>
            <w:hideMark/>
          </w:tcPr>
          <w:p w14:paraId="2370E4F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0.20</w:t>
            </w:r>
          </w:p>
        </w:tc>
      </w:tr>
      <w:tr w:rsidR="00BF13BF" w:rsidRPr="00BF13BF" w14:paraId="555B37E1" w14:textId="77777777" w:rsidTr="00BF13BF">
        <w:trPr>
          <w:trHeight w:val="300"/>
        </w:trPr>
        <w:tc>
          <w:tcPr>
            <w:tcW w:w="2420" w:type="dxa"/>
            <w:tcBorders>
              <w:top w:val="nil"/>
              <w:left w:val="nil"/>
              <w:bottom w:val="nil"/>
              <w:right w:val="nil"/>
            </w:tcBorders>
            <w:shd w:val="clear" w:color="auto" w:fill="auto"/>
            <w:noWrap/>
            <w:vAlign w:val="bottom"/>
            <w:hideMark/>
          </w:tcPr>
          <w:p w14:paraId="30B37E46"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71000F2E"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nil"/>
              <w:right w:val="nil"/>
            </w:tcBorders>
            <w:shd w:val="clear" w:color="auto" w:fill="auto"/>
            <w:noWrap/>
            <w:vAlign w:val="center"/>
          </w:tcPr>
          <w:p w14:paraId="2A534A0E" w14:textId="75392BAE"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584CB5C1"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(0.12)</w:t>
            </w:r>
          </w:p>
        </w:tc>
        <w:tc>
          <w:tcPr>
            <w:tcW w:w="1320" w:type="dxa"/>
            <w:tcBorders>
              <w:top w:val="nil"/>
              <w:left w:val="nil"/>
              <w:bottom w:val="nil"/>
              <w:right w:val="nil"/>
            </w:tcBorders>
            <w:shd w:val="clear" w:color="auto" w:fill="auto"/>
            <w:noWrap/>
            <w:vAlign w:val="center"/>
            <w:hideMark/>
          </w:tcPr>
          <w:p w14:paraId="11E58F92"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(0.98)</w:t>
            </w:r>
          </w:p>
        </w:tc>
        <w:tc>
          <w:tcPr>
            <w:tcW w:w="960" w:type="dxa"/>
            <w:tcBorders>
              <w:top w:val="nil"/>
              <w:left w:val="nil"/>
              <w:bottom w:val="nil"/>
              <w:right w:val="nil"/>
            </w:tcBorders>
            <w:shd w:val="clear" w:color="auto" w:fill="auto"/>
            <w:noWrap/>
            <w:vAlign w:val="center"/>
            <w:hideMark/>
          </w:tcPr>
          <w:p w14:paraId="2EC1A171"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268AF4A4" w14:textId="77777777" w:rsidTr="00BF13BF">
        <w:trPr>
          <w:trHeight w:val="300"/>
        </w:trPr>
        <w:tc>
          <w:tcPr>
            <w:tcW w:w="2420" w:type="dxa"/>
            <w:tcBorders>
              <w:top w:val="nil"/>
              <w:left w:val="nil"/>
              <w:bottom w:val="nil"/>
              <w:right w:val="nil"/>
            </w:tcBorders>
            <w:shd w:val="clear" w:color="auto" w:fill="auto"/>
            <w:noWrap/>
            <w:vAlign w:val="bottom"/>
            <w:hideMark/>
          </w:tcPr>
          <w:p w14:paraId="277B85B0"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NSW Murrumbidgee</w:t>
            </w:r>
          </w:p>
        </w:tc>
        <w:tc>
          <w:tcPr>
            <w:tcW w:w="1320" w:type="dxa"/>
            <w:tcBorders>
              <w:top w:val="nil"/>
              <w:left w:val="nil"/>
              <w:bottom w:val="nil"/>
              <w:right w:val="nil"/>
            </w:tcBorders>
            <w:shd w:val="clear" w:color="auto" w:fill="auto"/>
            <w:noWrap/>
            <w:vAlign w:val="center"/>
            <w:hideMark/>
          </w:tcPr>
          <w:p w14:paraId="48C4675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717593.5</w:t>
            </w:r>
          </w:p>
        </w:tc>
        <w:tc>
          <w:tcPr>
            <w:tcW w:w="1320" w:type="dxa"/>
            <w:tcBorders>
              <w:top w:val="nil"/>
              <w:left w:val="nil"/>
              <w:bottom w:val="nil"/>
              <w:right w:val="nil"/>
            </w:tcBorders>
            <w:shd w:val="clear" w:color="auto" w:fill="auto"/>
            <w:noWrap/>
            <w:vAlign w:val="center"/>
            <w:hideMark/>
          </w:tcPr>
          <w:p w14:paraId="31BD2323"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77.8</w:t>
            </w:r>
          </w:p>
        </w:tc>
        <w:tc>
          <w:tcPr>
            <w:tcW w:w="1320" w:type="dxa"/>
            <w:tcBorders>
              <w:top w:val="nil"/>
              <w:left w:val="nil"/>
              <w:bottom w:val="nil"/>
              <w:right w:val="nil"/>
            </w:tcBorders>
            <w:shd w:val="clear" w:color="auto" w:fill="auto"/>
            <w:noWrap/>
            <w:vAlign w:val="center"/>
            <w:hideMark/>
          </w:tcPr>
          <w:p w14:paraId="3FF9C7D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-1488.4</w:t>
            </w:r>
          </w:p>
        </w:tc>
        <w:tc>
          <w:tcPr>
            <w:tcW w:w="1320" w:type="dxa"/>
            <w:tcBorders>
              <w:top w:val="nil"/>
              <w:left w:val="nil"/>
              <w:bottom w:val="nil"/>
              <w:right w:val="nil"/>
            </w:tcBorders>
            <w:shd w:val="clear" w:color="auto" w:fill="auto"/>
            <w:noWrap/>
            <w:vAlign w:val="center"/>
            <w:hideMark/>
          </w:tcPr>
          <w:p w14:paraId="6C743993"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-4215.9</w:t>
            </w:r>
          </w:p>
        </w:tc>
        <w:tc>
          <w:tcPr>
            <w:tcW w:w="960" w:type="dxa"/>
            <w:tcBorders>
              <w:top w:val="nil"/>
              <w:left w:val="nil"/>
              <w:bottom w:val="nil"/>
              <w:right w:val="nil"/>
            </w:tcBorders>
            <w:shd w:val="clear" w:color="auto" w:fill="auto"/>
            <w:noWrap/>
            <w:vAlign w:val="center"/>
            <w:hideMark/>
          </w:tcPr>
          <w:p w14:paraId="41D1BEA1"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0.38</w:t>
            </w:r>
          </w:p>
        </w:tc>
      </w:tr>
      <w:tr w:rsidR="00BF13BF" w:rsidRPr="00BF13BF" w14:paraId="48E3C04B" w14:textId="77777777" w:rsidTr="00BF13BF">
        <w:trPr>
          <w:trHeight w:val="300"/>
        </w:trPr>
        <w:tc>
          <w:tcPr>
            <w:tcW w:w="2420" w:type="dxa"/>
            <w:tcBorders>
              <w:top w:val="nil"/>
              <w:left w:val="nil"/>
              <w:bottom w:val="nil"/>
              <w:right w:val="nil"/>
            </w:tcBorders>
            <w:shd w:val="clear" w:color="auto" w:fill="auto"/>
            <w:noWrap/>
            <w:vAlign w:val="bottom"/>
            <w:hideMark/>
          </w:tcPr>
          <w:p w14:paraId="3BD7FC5D"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67F94BE2"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(0.06)</w:t>
            </w:r>
          </w:p>
        </w:tc>
        <w:tc>
          <w:tcPr>
            <w:tcW w:w="1320" w:type="dxa"/>
            <w:tcBorders>
              <w:top w:val="nil"/>
              <w:left w:val="nil"/>
              <w:bottom w:val="nil"/>
              <w:right w:val="nil"/>
            </w:tcBorders>
            <w:shd w:val="clear" w:color="auto" w:fill="auto"/>
            <w:noWrap/>
            <w:vAlign w:val="center"/>
            <w:hideMark/>
          </w:tcPr>
          <w:p w14:paraId="61E0FD9C"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(0.88)</w:t>
            </w:r>
          </w:p>
        </w:tc>
        <w:tc>
          <w:tcPr>
            <w:tcW w:w="1320" w:type="dxa"/>
            <w:tcBorders>
              <w:top w:val="nil"/>
              <w:left w:val="nil"/>
              <w:bottom w:val="nil"/>
              <w:right w:val="nil"/>
            </w:tcBorders>
            <w:shd w:val="clear" w:color="auto" w:fill="auto"/>
            <w:noWrap/>
            <w:vAlign w:val="center"/>
            <w:hideMark/>
          </w:tcPr>
          <w:p w14:paraId="0F6E21B7"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(0.06)</w:t>
            </w:r>
          </w:p>
        </w:tc>
        <w:tc>
          <w:tcPr>
            <w:tcW w:w="1320" w:type="dxa"/>
            <w:tcBorders>
              <w:top w:val="nil"/>
              <w:left w:val="nil"/>
              <w:bottom w:val="nil"/>
              <w:right w:val="nil"/>
            </w:tcBorders>
            <w:shd w:val="clear" w:color="auto" w:fill="auto"/>
            <w:noWrap/>
            <w:vAlign w:val="center"/>
            <w:hideMark/>
          </w:tcPr>
          <w:p w14:paraId="0F102D5E"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(0.85)</w:t>
            </w:r>
          </w:p>
        </w:tc>
        <w:tc>
          <w:tcPr>
            <w:tcW w:w="960" w:type="dxa"/>
            <w:tcBorders>
              <w:top w:val="nil"/>
              <w:left w:val="nil"/>
              <w:bottom w:val="nil"/>
              <w:right w:val="nil"/>
            </w:tcBorders>
            <w:shd w:val="clear" w:color="auto" w:fill="auto"/>
            <w:noWrap/>
            <w:vAlign w:val="center"/>
            <w:hideMark/>
          </w:tcPr>
          <w:p w14:paraId="7AA9385A"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4A7CDC92" w14:textId="77777777" w:rsidTr="00BF13BF">
        <w:trPr>
          <w:trHeight w:val="300"/>
        </w:trPr>
        <w:tc>
          <w:tcPr>
            <w:tcW w:w="2420" w:type="dxa"/>
            <w:tcBorders>
              <w:top w:val="nil"/>
              <w:left w:val="nil"/>
              <w:bottom w:val="nil"/>
              <w:right w:val="nil"/>
            </w:tcBorders>
            <w:shd w:val="clear" w:color="auto" w:fill="auto"/>
            <w:noWrap/>
            <w:vAlign w:val="bottom"/>
            <w:hideMark/>
          </w:tcPr>
          <w:p w14:paraId="6454D0CA"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NSW Murray Above</w:t>
            </w:r>
          </w:p>
        </w:tc>
        <w:tc>
          <w:tcPr>
            <w:tcW w:w="1320" w:type="dxa"/>
            <w:tcBorders>
              <w:top w:val="nil"/>
              <w:left w:val="nil"/>
              <w:bottom w:val="nil"/>
              <w:right w:val="nil"/>
            </w:tcBorders>
            <w:shd w:val="clear" w:color="auto" w:fill="auto"/>
            <w:noWrap/>
            <w:vAlign w:val="center"/>
            <w:hideMark/>
          </w:tcPr>
          <w:p w14:paraId="24DAC388"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-261218.7</w:t>
            </w:r>
          </w:p>
        </w:tc>
        <w:tc>
          <w:tcPr>
            <w:tcW w:w="1320" w:type="dxa"/>
            <w:tcBorders>
              <w:top w:val="nil"/>
              <w:left w:val="nil"/>
              <w:bottom w:val="nil"/>
              <w:right w:val="nil"/>
            </w:tcBorders>
            <w:shd w:val="clear" w:color="auto" w:fill="auto"/>
            <w:noWrap/>
            <w:vAlign w:val="center"/>
            <w:hideMark/>
          </w:tcPr>
          <w:p w14:paraId="778BEC5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536.8</w:t>
            </w:r>
          </w:p>
        </w:tc>
        <w:tc>
          <w:tcPr>
            <w:tcW w:w="1320" w:type="dxa"/>
            <w:tcBorders>
              <w:top w:val="nil"/>
              <w:left w:val="nil"/>
              <w:bottom w:val="nil"/>
              <w:right w:val="nil"/>
            </w:tcBorders>
            <w:shd w:val="clear" w:color="auto" w:fill="auto"/>
            <w:noWrap/>
            <w:vAlign w:val="center"/>
            <w:hideMark/>
          </w:tcPr>
          <w:p w14:paraId="4DF64DFF"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499.2</w:t>
            </w:r>
          </w:p>
        </w:tc>
        <w:tc>
          <w:tcPr>
            <w:tcW w:w="1320" w:type="dxa"/>
            <w:tcBorders>
              <w:top w:val="nil"/>
              <w:left w:val="nil"/>
              <w:bottom w:val="nil"/>
              <w:right w:val="nil"/>
            </w:tcBorders>
            <w:shd w:val="clear" w:color="auto" w:fill="auto"/>
            <w:noWrap/>
            <w:vAlign w:val="center"/>
            <w:hideMark/>
          </w:tcPr>
          <w:p w14:paraId="7D1B16A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-5896.9</w:t>
            </w:r>
          </w:p>
        </w:tc>
        <w:tc>
          <w:tcPr>
            <w:tcW w:w="960" w:type="dxa"/>
            <w:tcBorders>
              <w:top w:val="nil"/>
              <w:left w:val="nil"/>
              <w:bottom w:val="nil"/>
              <w:right w:val="nil"/>
            </w:tcBorders>
            <w:shd w:val="clear" w:color="auto" w:fill="auto"/>
            <w:noWrap/>
            <w:vAlign w:val="center"/>
            <w:hideMark/>
          </w:tcPr>
          <w:p w14:paraId="1341483C"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0.23</w:t>
            </w:r>
          </w:p>
        </w:tc>
      </w:tr>
      <w:tr w:rsidR="00BF13BF" w:rsidRPr="00BF13BF" w14:paraId="3CEC52C4" w14:textId="77777777" w:rsidTr="00BF13BF">
        <w:trPr>
          <w:trHeight w:val="300"/>
        </w:trPr>
        <w:tc>
          <w:tcPr>
            <w:tcW w:w="2420" w:type="dxa"/>
            <w:tcBorders>
              <w:top w:val="nil"/>
              <w:left w:val="nil"/>
              <w:bottom w:val="nil"/>
              <w:right w:val="nil"/>
            </w:tcBorders>
            <w:shd w:val="clear" w:color="auto" w:fill="auto"/>
            <w:noWrap/>
            <w:vAlign w:val="bottom"/>
            <w:hideMark/>
          </w:tcPr>
          <w:p w14:paraId="33269E6A"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6B98060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(0.35)</w:t>
            </w:r>
          </w:p>
        </w:tc>
        <w:tc>
          <w:tcPr>
            <w:tcW w:w="1320" w:type="dxa"/>
            <w:tcBorders>
              <w:top w:val="nil"/>
              <w:left w:val="nil"/>
              <w:bottom w:val="nil"/>
              <w:right w:val="nil"/>
            </w:tcBorders>
            <w:shd w:val="clear" w:color="auto" w:fill="auto"/>
            <w:noWrap/>
            <w:vAlign w:val="center"/>
            <w:hideMark/>
          </w:tcPr>
          <w:p w14:paraId="422BF2E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(0.15)</w:t>
            </w:r>
          </w:p>
        </w:tc>
        <w:tc>
          <w:tcPr>
            <w:tcW w:w="1320" w:type="dxa"/>
            <w:tcBorders>
              <w:top w:val="nil"/>
              <w:left w:val="nil"/>
              <w:bottom w:val="nil"/>
              <w:right w:val="nil"/>
            </w:tcBorders>
            <w:shd w:val="clear" w:color="auto" w:fill="auto"/>
            <w:noWrap/>
            <w:vAlign w:val="center"/>
            <w:hideMark/>
          </w:tcPr>
          <w:p w14:paraId="2B11DF15"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(0.37)</w:t>
            </w:r>
          </w:p>
        </w:tc>
        <w:tc>
          <w:tcPr>
            <w:tcW w:w="1320" w:type="dxa"/>
            <w:tcBorders>
              <w:top w:val="nil"/>
              <w:left w:val="nil"/>
              <w:bottom w:val="nil"/>
              <w:right w:val="nil"/>
            </w:tcBorders>
            <w:shd w:val="clear" w:color="auto" w:fill="auto"/>
            <w:noWrap/>
            <w:vAlign w:val="center"/>
            <w:hideMark/>
          </w:tcPr>
          <w:p w14:paraId="67A802B1"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(0.67)</w:t>
            </w:r>
          </w:p>
        </w:tc>
        <w:tc>
          <w:tcPr>
            <w:tcW w:w="960" w:type="dxa"/>
            <w:tcBorders>
              <w:top w:val="nil"/>
              <w:left w:val="nil"/>
              <w:bottom w:val="nil"/>
              <w:right w:val="nil"/>
            </w:tcBorders>
            <w:shd w:val="clear" w:color="auto" w:fill="auto"/>
            <w:noWrap/>
            <w:vAlign w:val="center"/>
            <w:hideMark/>
          </w:tcPr>
          <w:p w14:paraId="337C26E1"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255A2EB3" w14:textId="77777777" w:rsidTr="00BF13BF">
        <w:trPr>
          <w:trHeight w:val="300"/>
        </w:trPr>
        <w:tc>
          <w:tcPr>
            <w:tcW w:w="2420" w:type="dxa"/>
            <w:tcBorders>
              <w:top w:val="nil"/>
              <w:left w:val="nil"/>
              <w:bottom w:val="nil"/>
              <w:right w:val="nil"/>
            </w:tcBorders>
            <w:shd w:val="clear" w:color="auto" w:fill="auto"/>
            <w:noWrap/>
            <w:vAlign w:val="bottom"/>
            <w:hideMark/>
          </w:tcPr>
          <w:p w14:paraId="512FF88D"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NSW Murray Below</w:t>
            </w:r>
          </w:p>
        </w:tc>
        <w:tc>
          <w:tcPr>
            <w:tcW w:w="1320" w:type="dxa"/>
            <w:tcBorders>
              <w:top w:val="nil"/>
              <w:left w:val="nil"/>
              <w:bottom w:val="nil"/>
              <w:right w:val="nil"/>
            </w:tcBorders>
            <w:shd w:val="clear" w:color="auto" w:fill="auto"/>
            <w:noWrap/>
            <w:vAlign w:val="center"/>
            <w:hideMark/>
          </w:tcPr>
          <w:p w14:paraId="385F20C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-334738.2*</w:t>
            </w:r>
          </w:p>
        </w:tc>
        <w:tc>
          <w:tcPr>
            <w:tcW w:w="1320" w:type="dxa"/>
            <w:tcBorders>
              <w:top w:val="nil"/>
              <w:left w:val="nil"/>
              <w:bottom w:val="nil"/>
              <w:right w:val="nil"/>
            </w:tcBorders>
            <w:shd w:val="clear" w:color="auto" w:fill="auto"/>
            <w:noWrap/>
            <w:vAlign w:val="center"/>
            <w:hideMark/>
          </w:tcPr>
          <w:p w14:paraId="347926D2"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351.0*</w:t>
            </w:r>
          </w:p>
        </w:tc>
        <w:tc>
          <w:tcPr>
            <w:tcW w:w="1320" w:type="dxa"/>
            <w:tcBorders>
              <w:top w:val="nil"/>
              <w:left w:val="nil"/>
              <w:bottom w:val="nil"/>
              <w:right w:val="nil"/>
            </w:tcBorders>
            <w:shd w:val="clear" w:color="auto" w:fill="auto"/>
            <w:noWrap/>
            <w:vAlign w:val="center"/>
            <w:hideMark/>
          </w:tcPr>
          <w:p w14:paraId="26D3066E"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326.4</w:t>
            </w:r>
          </w:p>
        </w:tc>
        <w:tc>
          <w:tcPr>
            <w:tcW w:w="1320" w:type="dxa"/>
            <w:tcBorders>
              <w:top w:val="nil"/>
              <w:left w:val="nil"/>
              <w:bottom w:val="nil"/>
              <w:right w:val="nil"/>
            </w:tcBorders>
            <w:shd w:val="clear" w:color="auto" w:fill="auto"/>
            <w:noWrap/>
            <w:vAlign w:val="center"/>
            <w:hideMark/>
          </w:tcPr>
          <w:p w14:paraId="08AA700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-1433.9</w:t>
            </w:r>
          </w:p>
        </w:tc>
        <w:tc>
          <w:tcPr>
            <w:tcW w:w="960" w:type="dxa"/>
            <w:tcBorders>
              <w:top w:val="nil"/>
              <w:left w:val="nil"/>
              <w:bottom w:val="nil"/>
              <w:right w:val="nil"/>
            </w:tcBorders>
            <w:shd w:val="clear" w:color="auto" w:fill="auto"/>
            <w:noWrap/>
            <w:vAlign w:val="center"/>
            <w:hideMark/>
          </w:tcPr>
          <w:p w14:paraId="0D98434A"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0.58</w:t>
            </w:r>
          </w:p>
        </w:tc>
      </w:tr>
      <w:tr w:rsidR="00BF13BF" w:rsidRPr="00BF13BF" w14:paraId="55868A44" w14:textId="77777777" w:rsidTr="00BF13BF">
        <w:trPr>
          <w:trHeight w:val="300"/>
        </w:trPr>
        <w:tc>
          <w:tcPr>
            <w:tcW w:w="2420" w:type="dxa"/>
            <w:tcBorders>
              <w:top w:val="nil"/>
              <w:left w:val="nil"/>
              <w:bottom w:val="nil"/>
              <w:right w:val="nil"/>
            </w:tcBorders>
            <w:shd w:val="clear" w:color="auto" w:fill="auto"/>
            <w:noWrap/>
            <w:vAlign w:val="bottom"/>
            <w:hideMark/>
          </w:tcPr>
          <w:p w14:paraId="0FBE4114" w14:textId="77777777" w:rsidR="00BF13BF" w:rsidRPr="00BF13BF" w:rsidRDefault="00BF13BF" w:rsidP="00BF13BF">
            <w:pPr>
              <w:spacing w:after="0" w:line="240" w:lineRule="auto"/>
              <w:jc w:val="right"/>
              <w:rPr>
                <w:rFonts w:eastAsia="Times New Roman"/>
                <w:color w:val="000000"/>
                <w:sz w:val="19"/>
                <w:szCs w:val="19"/>
                <w:lang w:eastAsia="en-AU"/>
              </w:rPr>
            </w:pPr>
          </w:p>
        </w:tc>
        <w:tc>
          <w:tcPr>
            <w:tcW w:w="1320" w:type="dxa"/>
            <w:tcBorders>
              <w:top w:val="nil"/>
              <w:left w:val="nil"/>
              <w:bottom w:val="nil"/>
              <w:right w:val="nil"/>
            </w:tcBorders>
            <w:shd w:val="clear" w:color="auto" w:fill="auto"/>
            <w:noWrap/>
            <w:vAlign w:val="center"/>
            <w:hideMark/>
          </w:tcPr>
          <w:p w14:paraId="10D34AA6"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nil"/>
              <w:right w:val="nil"/>
            </w:tcBorders>
            <w:shd w:val="clear" w:color="auto" w:fill="auto"/>
            <w:noWrap/>
            <w:vAlign w:val="center"/>
            <w:hideMark/>
          </w:tcPr>
          <w:p w14:paraId="14E3867E"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(0.01)</w:t>
            </w:r>
          </w:p>
        </w:tc>
        <w:tc>
          <w:tcPr>
            <w:tcW w:w="1320" w:type="dxa"/>
            <w:tcBorders>
              <w:top w:val="nil"/>
              <w:left w:val="nil"/>
              <w:bottom w:val="nil"/>
              <w:right w:val="nil"/>
            </w:tcBorders>
            <w:shd w:val="clear" w:color="auto" w:fill="auto"/>
            <w:noWrap/>
            <w:vAlign w:val="center"/>
            <w:hideMark/>
          </w:tcPr>
          <w:p w14:paraId="77AB4E7C"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(0.07)</w:t>
            </w:r>
          </w:p>
        </w:tc>
        <w:tc>
          <w:tcPr>
            <w:tcW w:w="1320" w:type="dxa"/>
            <w:tcBorders>
              <w:top w:val="nil"/>
              <w:left w:val="nil"/>
              <w:bottom w:val="nil"/>
              <w:right w:val="nil"/>
            </w:tcBorders>
            <w:shd w:val="clear" w:color="auto" w:fill="auto"/>
            <w:noWrap/>
            <w:vAlign w:val="center"/>
            <w:hideMark/>
          </w:tcPr>
          <w:p w14:paraId="01EEEC87"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(0.73)</w:t>
            </w:r>
          </w:p>
        </w:tc>
        <w:tc>
          <w:tcPr>
            <w:tcW w:w="960" w:type="dxa"/>
            <w:tcBorders>
              <w:top w:val="nil"/>
              <w:left w:val="nil"/>
              <w:bottom w:val="nil"/>
              <w:right w:val="nil"/>
            </w:tcBorders>
            <w:shd w:val="clear" w:color="auto" w:fill="auto"/>
            <w:noWrap/>
            <w:vAlign w:val="center"/>
            <w:hideMark/>
          </w:tcPr>
          <w:p w14:paraId="45F4A5B9" w14:textId="77777777" w:rsidR="00BF13BF" w:rsidRPr="00BF13BF" w:rsidRDefault="00BF13BF" w:rsidP="00BF13BF">
            <w:pPr>
              <w:spacing w:after="0" w:line="240" w:lineRule="auto"/>
              <w:jc w:val="right"/>
              <w:rPr>
                <w:rFonts w:eastAsia="Times New Roman"/>
                <w:color w:val="000000"/>
                <w:sz w:val="19"/>
                <w:szCs w:val="19"/>
                <w:lang w:eastAsia="en-AU"/>
              </w:rPr>
            </w:pPr>
          </w:p>
        </w:tc>
      </w:tr>
      <w:tr w:rsidR="00BF13BF" w:rsidRPr="00BF13BF" w14:paraId="42B0366D" w14:textId="77777777" w:rsidTr="00BF13BF">
        <w:trPr>
          <w:trHeight w:val="300"/>
        </w:trPr>
        <w:tc>
          <w:tcPr>
            <w:tcW w:w="2420" w:type="dxa"/>
            <w:tcBorders>
              <w:top w:val="nil"/>
              <w:left w:val="nil"/>
              <w:bottom w:val="nil"/>
              <w:right w:val="nil"/>
            </w:tcBorders>
            <w:shd w:val="clear" w:color="auto" w:fill="auto"/>
            <w:noWrap/>
            <w:vAlign w:val="bottom"/>
            <w:hideMark/>
          </w:tcPr>
          <w:p w14:paraId="25733E4D"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SA Murray</w:t>
            </w:r>
          </w:p>
        </w:tc>
        <w:tc>
          <w:tcPr>
            <w:tcW w:w="1320" w:type="dxa"/>
            <w:tcBorders>
              <w:top w:val="nil"/>
              <w:left w:val="nil"/>
              <w:bottom w:val="nil"/>
              <w:right w:val="nil"/>
            </w:tcBorders>
            <w:shd w:val="clear" w:color="auto" w:fill="auto"/>
            <w:noWrap/>
            <w:vAlign w:val="center"/>
            <w:hideMark/>
          </w:tcPr>
          <w:p w14:paraId="5129E38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-371002.2*</w:t>
            </w:r>
          </w:p>
        </w:tc>
        <w:tc>
          <w:tcPr>
            <w:tcW w:w="1320" w:type="dxa"/>
            <w:tcBorders>
              <w:top w:val="nil"/>
              <w:left w:val="nil"/>
              <w:bottom w:val="nil"/>
              <w:right w:val="nil"/>
            </w:tcBorders>
            <w:shd w:val="clear" w:color="auto" w:fill="auto"/>
            <w:noWrap/>
            <w:vAlign w:val="center"/>
            <w:hideMark/>
          </w:tcPr>
          <w:p w14:paraId="4F0A2D19"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273.6*</w:t>
            </w:r>
          </w:p>
        </w:tc>
        <w:tc>
          <w:tcPr>
            <w:tcW w:w="1320" w:type="dxa"/>
            <w:tcBorders>
              <w:top w:val="nil"/>
              <w:left w:val="nil"/>
              <w:bottom w:val="nil"/>
              <w:right w:val="nil"/>
            </w:tcBorders>
            <w:shd w:val="clear" w:color="auto" w:fill="auto"/>
            <w:noWrap/>
            <w:vAlign w:val="center"/>
            <w:hideMark/>
          </w:tcPr>
          <w:p w14:paraId="5470F25F"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213.7</w:t>
            </w:r>
          </w:p>
        </w:tc>
        <w:tc>
          <w:tcPr>
            <w:tcW w:w="1320" w:type="dxa"/>
            <w:tcBorders>
              <w:top w:val="nil"/>
              <w:left w:val="nil"/>
              <w:bottom w:val="nil"/>
              <w:right w:val="nil"/>
            </w:tcBorders>
            <w:shd w:val="clear" w:color="auto" w:fill="auto"/>
            <w:noWrap/>
            <w:vAlign w:val="center"/>
            <w:hideMark/>
          </w:tcPr>
          <w:p w14:paraId="0C0EFBA2"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12470.0*</w:t>
            </w:r>
          </w:p>
        </w:tc>
        <w:tc>
          <w:tcPr>
            <w:tcW w:w="960" w:type="dxa"/>
            <w:tcBorders>
              <w:top w:val="nil"/>
              <w:left w:val="nil"/>
              <w:bottom w:val="nil"/>
              <w:right w:val="nil"/>
            </w:tcBorders>
            <w:shd w:val="clear" w:color="auto" w:fill="auto"/>
            <w:noWrap/>
            <w:vAlign w:val="center"/>
            <w:hideMark/>
          </w:tcPr>
          <w:p w14:paraId="35D8368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0.78</w:t>
            </w:r>
          </w:p>
        </w:tc>
      </w:tr>
      <w:tr w:rsidR="00BF13BF" w:rsidRPr="00BF13BF" w14:paraId="77ED9EAB" w14:textId="77777777" w:rsidTr="00BF13BF">
        <w:trPr>
          <w:trHeight w:val="300"/>
        </w:trPr>
        <w:tc>
          <w:tcPr>
            <w:tcW w:w="2420" w:type="dxa"/>
            <w:tcBorders>
              <w:top w:val="nil"/>
              <w:left w:val="nil"/>
              <w:bottom w:val="single" w:sz="4" w:space="0" w:color="auto"/>
              <w:right w:val="nil"/>
            </w:tcBorders>
            <w:shd w:val="clear" w:color="auto" w:fill="auto"/>
            <w:noWrap/>
            <w:vAlign w:val="bottom"/>
            <w:hideMark/>
          </w:tcPr>
          <w:p w14:paraId="7D24D095" w14:textId="77777777" w:rsidR="00BF13BF" w:rsidRPr="00BF13BF" w:rsidRDefault="00BF13BF" w:rsidP="00BF13BF">
            <w:pPr>
              <w:spacing w:after="0" w:line="240" w:lineRule="auto"/>
              <w:rPr>
                <w:rFonts w:eastAsia="Times New Roman"/>
                <w:color w:val="000000"/>
                <w:sz w:val="19"/>
                <w:szCs w:val="19"/>
                <w:lang w:eastAsia="en-AU"/>
              </w:rPr>
            </w:pPr>
            <w:r w:rsidRPr="00BF13BF">
              <w:rPr>
                <w:rFonts w:eastAsia="Times New Roman"/>
                <w:color w:val="000000"/>
                <w:sz w:val="19"/>
                <w:szCs w:val="19"/>
                <w:lang w:eastAsia="en-AU"/>
              </w:rPr>
              <w:t> </w:t>
            </w:r>
          </w:p>
        </w:tc>
        <w:tc>
          <w:tcPr>
            <w:tcW w:w="1320" w:type="dxa"/>
            <w:tcBorders>
              <w:top w:val="nil"/>
              <w:left w:val="nil"/>
              <w:bottom w:val="single" w:sz="4" w:space="0" w:color="auto"/>
              <w:right w:val="nil"/>
            </w:tcBorders>
            <w:shd w:val="clear" w:color="auto" w:fill="auto"/>
            <w:noWrap/>
            <w:vAlign w:val="center"/>
            <w:hideMark/>
          </w:tcPr>
          <w:p w14:paraId="0862CDEE"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single" w:sz="4" w:space="0" w:color="auto"/>
              <w:right w:val="nil"/>
            </w:tcBorders>
            <w:shd w:val="clear" w:color="auto" w:fill="auto"/>
            <w:noWrap/>
            <w:vAlign w:val="center"/>
            <w:hideMark/>
          </w:tcPr>
          <w:p w14:paraId="5182E938"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1320" w:type="dxa"/>
            <w:tcBorders>
              <w:top w:val="nil"/>
              <w:left w:val="nil"/>
              <w:bottom w:val="single" w:sz="4" w:space="0" w:color="auto"/>
              <w:right w:val="nil"/>
            </w:tcBorders>
            <w:shd w:val="clear" w:color="auto" w:fill="auto"/>
            <w:noWrap/>
            <w:vAlign w:val="center"/>
            <w:hideMark/>
          </w:tcPr>
          <w:p w14:paraId="2639E74E"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(0.11)</w:t>
            </w:r>
          </w:p>
        </w:tc>
        <w:tc>
          <w:tcPr>
            <w:tcW w:w="1320" w:type="dxa"/>
            <w:tcBorders>
              <w:top w:val="nil"/>
              <w:left w:val="nil"/>
              <w:bottom w:val="single" w:sz="4" w:space="0" w:color="auto"/>
              <w:right w:val="nil"/>
            </w:tcBorders>
            <w:shd w:val="clear" w:color="auto" w:fill="auto"/>
            <w:noWrap/>
            <w:vAlign w:val="center"/>
            <w:hideMark/>
          </w:tcPr>
          <w:p w14:paraId="166B6CA3"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(0.00)</w:t>
            </w:r>
          </w:p>
        </w:tc>
        <w:tc>
          <w:tcPr>
            <w:tcW w:w="960" w:type="dxa"/>
            <w:tcBorders>
              <w:top w:val="nil"/>
              <w:left w:val="nil"/>
              <w:bottom w:val="single" w:sz="4" w:space="0" w:color="auto"/>
              <w:right w:val="nil"/>
            </w:tcBorders>
            <w:shd w:val="clear" w:color="auto" w:fill="auto"/>
            <w:noWrap/>
            <w:vAlign w:val="center"/>
            <w:hideMark/>
          </w:tcPr>
          <w:p w14:paraId="32335FC4" w14:textId="77777777" w:rsidR="00BF13BF" w:rsidRPr="00BF13BF" w:rsidRDefault="00BF13BF" w:rsidP="00BF13BF">
            <w:pPr>
              <w:spacing w:after="0" w:line="240" w:lineRule="auto"/>
              <w:jc w:val="right"/>
              <w:rPr>
                <w:rFonts w:eastAsia="Times New Roman"/>
                <w:color w:val="000000"/>
                <w:sz w:val="19"/>
                <w:szCs w:val="19"/>
                <w:lang w:eastAsia="en-AU"/>
              </w:rPr>
            </w:pPr>
            <w:r w:rsidRPr="00BF13BF">
              <w:rPr>
                <w:rFonts w:eastAsia="Times New Roman"/>
                <w:color w:val="000000"/>
                <w:sz w:val="19"/>
                <w:szCs w:val="19"/>
                <w:lang w:eastAsia="en-AU"/>
              </w:rPr>
              <w:t> </w:t>
            </w:r>
          </w:p>
        </w:tc>
      </w:tr>
    </w:tbl>
    <w:p w14:paraId="0810D2D0" w14:textId="77777777" w:rsidR="00EE68F9" w:rsidRDefault="00EE68F9" w:rsidP="00EE68F9">
      <w:pPr>
        <w:pStyle w:val="Notesourcetext"/>
      </w:pPr>
      <w:r>
        <w:t>Note: * denotes significance at the 95% level</w:t>
      </w:r>
    </w:p>
    <w:p w14:paraId="6BF85217" w14:textId="77777777" w:rsidR="002D5DBA" w:rsidRDefault="00FB159B" w:rsidP="0079654D">
      <w:pPr>
        <w:pStyle w:val="Heading1"/>
      </w:pPr>
      <w:bookmarkStart w:id="88" w:name="_Toc505345867"/>
      <w:r>
        <w:lastRenderedPageBreak/>
        <w:t>V</w:t>
      </w:r>
      <w:r w:rsidR="003C0750">
        <w:t>alidation</w:t>
      </w:r>
      <w:bookmarkEnd w:id="88"/>
    </w:p>
    <w:p w14:paraId="30723AD6" w14:textId="5174A2C6" w:rsidR="00E1017B" w:rsidRDefault="00E1017B" w:rsidP="00797B4F">
      <w:pPr>
        <w:pStyle w:val="BodyText1"/>
      </w:pPr>
      <w:r>
        <w:t xml:space="preserve">This </w:t>
      </w:r>
      <w:r w:rsidR="00F85C2D">
        <w:t>chapter</w:t>
      </w:r>
      <w:r>
        <w:t xml:space="preserve"> presents results for the model baseline scenario.</w:t>
      </w:r>
      <w:r w:rsidR="00A8755E">
        <w:t xml:space="preserve"> </w:t>
      </w:r>
      <w:r w:rsidR="003C0750">
        <w:t xml:space="preserve">In this scenario, model inputs </w:t>
      </w:r>
      <w:r>
        <w:t xml:space="preserve">such as water availability (water allocations, entitlements, carry-over), climate (rainfall) and commodity prices </w:t>
      </w:r>
      <w:r w:rsidR="003C0750">
        <w:t xml:space="preserve">are based on historical </w:t>
      </w:r>
      <w:r>
        <w:t>conditions as defined by our dataset. Note that this scenario includes the effect on water availability of Commonwealth water entitlement recovery associated with the Basin Plan.</w:t>
      </w:r>
    </w:p>
    <w:p w14:paraId="2947EE99" w14:textId="77178F8A" w:rsidR="00E1017B" w:rsidRDefault="00E1017B" w:rsidP="00433CAA">
      <w:r>
        <w:t xml:space="preserve">As discussed, model estimation </w:t>
      </w:r>
      <w:r w:rsidR="00325FFD">
        <w:t>uses the time period 2005–</w:t>
      </w:r>
      <w:r>
        <w:t>06 to 201</w:t>
      </w:r>
      <w:r w:rsidR="00325FFD">
        <w:t>5–16</w:t>
      </w:r>
      <w:r>
        <w:t xml:space="preserve">. However data is also available for </w:t>
      </w:r>
      <w:r w:rsidR="003452C0">
        <w:t>all exogenous variables (water availability, climate and commodity prices)</w:t>
      </w:r>
      <w:r>
        <w:t xml:space="preserve"> for </w:t>
      </w:r>
      <w:r w:rsidR="003452C0">
        <w:t>all</w:t>
      </w:r>
      <w:r w:rsidR="00325FFD">
        <w:t xml:space="preserve"> years 2002–03 to 2016–17</w:t>
      </w:r>
      <w:r>
        <w:t>.</w:t>
      </w:r>
      <w:r w:rsidR="003452C0">
        <w:t xml:space="preserve"> </w:t>
      </w:r>
      <w:r w:rsidR="00325FFD">
        <w:t>Therefore</w:t>
      </w:r>
      <w:r w:rsidR="003452C0">
        <w:t>, model results are presented for</w:t>
      </w:r>
      <w:r w:rsidR="00325FFD">
        <w:t xml:space="preserve"> the full period 2002–03 to 2016–17, with the years 2002–</w:t>
      </w:r>
      <w:r w:rsidR="003452C0">
        <w:t>03 to 2</w:t>
      </w:r>
      <w:r w:rsidR="00325FFD">
        <w:t>004–05 and 2016–17</w:t>
      </w:r>
      <w:r w:rsidR="00F573A8">
        <w:t xml:space="preserve"> being</w:t>
      </w:r>
      <w:r w:rsidR="003452C0">
        <w:t xml:space="preserve"> out-of-sample predictions.</w:t>
      </w:r>
      <w:r w:rsidR="00466173">
        <w:t xml:space="preserve"> Note that data is not available on perennial land areas for </w:t>
      </w:r>
      <w:r w:rsidR="00E94086">
        <w:t>out-of-sample years, so</w:t>
      </w:r>
      <w:r w:rsidR="00466173">
        <w:t xml:space="preserve"> these are assumed equal to the nearest available year.</w:t>
      </w:r>
    </w:p>
    <w:p w14:paraId="479928AA" w14:textId="77777777" w:rsidR="0005712A" w:rsidRPr="0005712A" w:rsidRDefault="0005712A" w:rsidP="003452C0">
      <w:pPr>
        <w:pStyle w:val="Heading2"/>
      </w:pPr>
      <w:bookmarkStart w:id="89" w:name="_Toc505345868"/>
      <w:r>
        <w:t>Water allocation prices</w:t>
      </w:r>
      <w:bookmarkEnd w:id="89"/>
    </w:p>
    <w:p w14:paraId="59B9EDBA" w14:textId="3AC974BC" w:rsidR="0005712A" w:rsidRDefault="005F6A10" w:rsidP="0005712A">
      <w:pPr>
        <w:pStyle w:val="BodyText1"/>
      </w:pPr>
      <w:r>
        <w:t>Model results for water allocation prices</w:t>
      </w:r>
      <w:r w:rsidR="0005712A">
        <w:t xml:space="preserve"> </w:t>
      </w:r>
      <w:r w:rsidR="00741A66">
        <w:t xml:space="preserve">accurately </w:t>
      </w:r>
      <w:r w:rsidR="0005712A">
        <w:t xml:space="preserve">capture historical </w:t>
      </w:r>
      <w:r w:rsidR="003452C0">
        <w:t>variation over time as well as differences between regions due to trade constraints</w:t>
      </w:r>
      <w:r w:rsidR="0005712A">
        <w:t>. For example, the model is able to recreate higher prices in Northern Victoria and lower prices in NSW Lower Darling during drought years (</w:t>
      </w:r>
      <w:r w:rsidR="00C4031B">
        <w:fldChar w:fldCharType="begin"/>
      </w:r>
      <w:r w:rsidR="00C4031B">
        <w:instrText xml:space="preserve"> REF _Ref486529302 \h </w:instrText>
      </w:r>
      <w:r w:rsidR="00C4031B">
        <w:fldChar w:fldCharType="separate"/>
      </w:r>
      <w:r w:rsidR="00F709AB" w:rsidRPr="00206BDD">
        <w:t xml:space="preserve">Figure </w:t>
      </w:r>
      <w:r w:rsidR="00F709AB">
        <w:rPr>
          <w:noProof/>
        </w:rPr>
        <w:t>6</w:t>
      </w:r>
      <w:r w:rsidR="00C4031B">
        <w:fldChar w:fldCharType="end"/>
      </w:r>
      <w:r w:rsidR="0005712A">
        <w:t xml:space="preserve">). </w:t>
      </w:r>
      <w:r w:rsidR="00B3726C">
        <w:t>Out of sample results</w:t>
      </w:r>
      <w:r w:rsidR="00325FFD">
        <w:t xml:space="preserve"> for 2002–03 to 2004–05 and 2016–17</w:t>
      </w:r>
      <w:r w:rsidR="00B3726C">
        <w:t xml:space="preserve"> are indicated by the grey shaded bands in the figure.</w:t>
      </w:r>
    </w:p>
    <w:p w14:paraId="4CE1EEF5" w14:textId="12A66D9D" w:rsidR="00BA455C" w:rsidRDefault="00BA455C" w:rsidP="00BA455C">
      <w:pPr>
        <w:pStyle w:val="Caption"/>
      </w:pPr>
      <w:bookmarkStart w:id="90" w:name="_Ref486529302"/>
      <w:bookmarkStart w:id="91" w:name="_Toc505345913"/>
      <w:r w:rsidRPr="00206BDD">
        <w:t xml:space="preserve">Figure </w:t>
      </w:r>
      <w:r w:rsidR="00915ABD" w:rsidRPr="00206BDD">
        <w:fldChar w:fldCharType="begin"/>
      </w:r>
      <w:r w:rsidRPr="00206BDD">
        <w:instrText xml:space="preserve"> SEQ Figure \* ARABIC </w:instrText>
      </w:r>
      <w:r w:rsidR="00915ABD" w:rsidRPr="00206BDD">
        <w:fldChar w:fldCharType="separate"/>
      </w:r>
      <w:r w:rsidR="00F709AB">
        <w:rPr>
          <w:noProof/>
        </w:rPr>
        <w:t>6</w:t>
      </w:r>
      <w:r w:rsidR="00915ABD" w:rsidRPr="00206BDD">
        <w:rPr>
          <w:noProof/>
        </w:rPr>
        <w:fldChar w:fldCharType="end"/>
      </w:r>
      <w:bookmarkEnd w:id="90"/>
      <w:r w:rsidRPr="00206BDD">
        <w:t xml:space="preserve"> Actual and modelled water allocation prices, </w:t>
      </w:r>
      <w:r w:rsidR="007456EE" w:rsidRPr="00206BDD">
        <w:t>by trading zone, 2002–03 to 2016</w:t>
      </w:r>
      <w:r w:rsidRPr="00206BDD">
        <w:t>–1</w:t>
      </w:r>
      <w:r w:rsidR="007456EE" w:rsidRPr="00206BDD">
        <w:t>7</w:t>
      </w:r>
      <w:bookmarkEnd w:id="91"/>
    </w:p>
    <w:p w14:paraId="1299068C" w14:textId="7B77C059" w:rsidR="00836668" w:rsidRDefault="00206BDD" w:rsidP="00B15C6D">
      <w:pPr>
        <w:pStyle w:val="BodyText1"/>
        <w:rPr>
          <w:rStyle w:val="NotesourcetextChar"/>
        </w:rPr>
      </w:pPr>
      <w:r w:rsidRPr="00206BDD">
        <w:rPr>
          <w:noProof/>
          <w:lang w:eastAsia="en-AU"/>
        </w:rPr>
        <w:drawing>
          <wp:inline distT="0" distB="0" distL="0" distR="0" wp14:anchorId="2D26FF7D" wp14:editId="7FA842DE">
            <wp:extent cx="4745393" cy="4464000"/>
            <wp:effectExtent l="0" t="0" r="0" b="0"/>
            <wp:docPr id="24" name="Picture 24" descr="\\Act001cl06fs02\abares_data$\ProductivityAndWaterAndSocial\Water\_Projects\2016-08_Water_trade_model\_InProgress\images\scen_8_charts_revised\Scenario_8_prices_by_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001cl06fs02\abares_data$\ProductivityAndWaterAndSocial\Water\_Projects\2016-08_Water_trade_model\_InProgress\images\scen_8_charts_revised\Scenario_8_prices_by_re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5393" cy="4464000"/>
                    </a:xfrm>
                    <a:prstGeom prst="rect">
                      <a:avLst/>
                    </a:prstGeom>
                    <a:noFill/>
                    <a:ln>
                      <a:noFill/>
                    </a:ln>
                  </pic:spPr>
                </pic:pic>
              </a:graphicData>
            </a:graphic>
          </wp:inline>
        </w:drawing>
      </w:r>
      <w:r w:rsidR="00BA455C">
        <w:br/>
      </w:r>
      <w:r w:rsidR="00BA455C" w:rsidRPr="007D631E">
        <w:rPr>
          <w:rStyle w:val="NotesourcetextChar"/>
        </w:rPr>
        <w:t xml:space="preserve">Note: Barmah above is </w:t>
      </w:r>
      <w:r w:rsidR="00F573A8">
        <w:rPr>
          <w:rStyle w:val="NotesourcetextChar"/>
        </w:rPr>
        <w:t>the model</w:t>
      </w:r>
      <w:r w:rsidR="003452C0">
        <w:rPr>
          <w:rStyle w:val="NotesourcetextChar"/>
        </w:rPr>
        <w:t xml:space="preserve"> trading zone 1</w:t>
      </w:r>
      <w:r w:rsidR="00BA455C" w:rsidRPr="007D631E">
        <w:rPr>
          <w:rStyle w:val="NotesourcetextChar"/>
        </w:rPr>
        <w:t xml:space="preserve">; Barmah below is </w:t>
      </w:r>
      <w:r w:rsidR="00F573A8">
        <w:rPr>
          <w:rStyle w:val="NotesourcetextChar"/>
        </w:rPr>
        <w:t xml:space="preserve">model </w:t>
      </w:r>
      <w:r w:rsidR="003452C0">
        <w:rPr>
          <w:rStyle w:val="NotesourcetextChar"/>
        </w:rPr>
        <w:t>trading zone</w:t>
      </w:r>
      <w:r w:rsidR="00F573A8">
        <w:rPr>
          <w:rStyle w:val="NotesourcetextChar"/>
        </w:rPr>
        <w:t xml:space="preserve"> 5</w:t>
      </w:r>
      <w:r w:rsidR="00A55343">
        <w:rPr>
          <w:rStyle w:val="NotesourcetextChar"/>
        </w:rPr>
        <w:t>.</w:t>
      </w:r>
    </w:p>
    <w:p w14:paraId="139CDEA9" w14:textId="77777777" w:rsidR="0005712A" w:rsidRDefault="0005712A" w:rsidP="00F573A8">
      <w:pPr>
        <w:pStyle w:val="Heading2"/>
      </w:pPr>
      <w:bookmarkStart w:id="92" w:name="_Toc505345869"/>
      <w:r>
        <w:lastRenderedPageBreak/>
        <w:t>Net trade flows</w:t>
      </w:r>
      <w:bookmarkEnd w:id="92"/>
    </w:p>
    <w:p w14:paraId="0416BCE9" w14:textId="5D9023D8" w:rsidR="00F573A8" w:rsidRDefault="00F573A8" w:rsidP="00797B4F">
      <w:pPr>
        <w:pStyle w:val="BodyText1"/>
      </w:pPr>
      <w:r>
        <w:t>Replicating historical net trade flows is challenging given the model estimation does not include them as target variable. Further the modelled inter-regional trade flows are sensitive to the assumed trade constraints. While these have been specified to emulate historical trading conditions as much as possible, representing these constraints within the model is difficult given the annual time scale. As noted in previous research (</w:t>
      </w:r>
      <w:r>
        <w:rPr>
          <w:rFonts w:cs="Cambria"/>
          <w:color w:val="auto"/>
          <w:lang w:eastAsia="en-AU"/>
        </w:rPr>
        <w:t>Hughes</w:t>
      </w:r>
      <w:r w:rsidR="00EF099E">
        <w:rPr>
          <w:rFonts w:cs="Cambria"/>
          <w:color w:val="auto"/>
          <w:lang w:eastAsia="en-AU"/>
        </w:rPr>
        <w:t xml:space="preserve"> et al.</w:t>
      </w:r>
      <w:r>
        <w:rPr>
          <w:rFonts w:cs="Cambria"/>
          <w:color w:val="auto"/>
          <w:lang w:eastAsia="en-AU"/>
        </w:rPr>
        <w:t>2016</w:t>
      </w:r>
      <w:r>
        <w:t>), limits can vary across and within years depending on river operation decisions, and changes in trading rules.</w:t>
      </w:r>
    </w:p>
    <w:p w14:paraId="7759DD01" w14:textId="2E9632D6" w:rsidR="001B4FAA" w:rsidRDefault="00EF099E" w:rsidP="00797B4F">
      <w:pPr>
        <w:pStyle w:val="BodyText1"/>
      </w:pPr>
      <w:r>
        <w:t xml:space="preserve">Notwithstanding these issues, </w:t>
      </w:r>
      <w:r w:rsidR="00F573A8">
        <w:t xml:space="preserve">the model does a reasonable job of </w:t>
      </w:r>
      <w:r w:rsidR="00741A66">
        <w:t xml:space="preserve">matching </w:t>
      </w:r>
      <w:r w:rsidR="00F573A8">
        <w:t>historical trading patterns</w:t>
      </w:r>
      <w:r>
        <w:t xml:space="preserve"> for most zones</w:t>
      </w:r>
      <w:r w:rsidR="00F573A8">
        <w:t>, including for example water exports from the Murrumbidgee and imports into the below Barmah Murray zone (i.e.,</w:t>
      </w:r>
      <w:r w:rsidR="00644148">
        <w:t xml:space="preserve"> </w:t>
      </w:r>
      <w:r w:rsidR="00F573A8">
        <w:t xml:space="preserve">SA Murray) during the drought </w:t>
      </w:r>
      <w:r w:rsidR="00FB0BD3">
        <w:t>(</w:t>
      </w:r>
      <w:r w:rsidR="00C4031B">
        <w:fldChar w:fldCharType="begin"/>
      </w:r>
      <w:r w:rsidR="00C4031B">
        <w:instrText xml:space="preserve"> REF _Ref486529357 \h </w:instrText>
      </w:r>
      <w:r w:rsidR="00C4031B">
        <w:fldChar w:fldCharType="separate"/>
      </w:r>
      <w:r w:rsidR="00F709AB" w:rsidRPr="00206BDD">
        <w:t xml:space="preserve">Figure </w:t>
      </w:r>
      <w:r w:rsidR="00F709AB">
        <w:rPr>
          <w:noProof/>
        </w:rPr>
        <w:t>7</w:t>
      </w:r>
      <w:r w:rsidR="00C4031B">
        <w:fldChar w:fldCharType="end"/>
      </w:r>
      <w:r w:rsidR="00FB0BD3">
        <w:t xml:space="preserve">). </w:t>
      </w:r>
    </w:p>
    <w:p w14:paraId="4D806F91" w14:textId="6B93B81C" w:rsidR="005F6A10" w:rsidRDefault="005F6A10" w:rsidP="005F6A10">
      <w:pPr>
        <w:pStyle w:val="Caption"/>
      </w:pPr>
      <w:bookmarkStart w:id="93" w:name="_Ref486529357"/>
      <w:bookmarkStart w:id="94" w:name="_Toc505345914"/>
      <w:r w:rsidRPr="00206BDD">
        <w:t xml:space="preserve">Figure </w:t>
      </w:r>
      <w:r w:rsidR="00915ABD" w:rsidRPr="00206BDD">
        <w:fldChar w:fldCharType="begin"/>
      </w:r>
      <w:r w:rsidRPr="00206BDD">
        <w:instrText xml:space="preserve"> SEQ Figure \* ARABIC </w:instrText>
      </w:r>
      <w:r w:rsidR="00915ABD" w:rsidRPr="00206BDD">
        <w:fldChar w:fldCharType="separate"/>
      </w:r>
      <w:r w:rsidR="00F709AB">
        <w:rPr>
          <w:noProof/>
        </w:rPr>
        <w:t>7</w:t>
      </w:r>
      <w:r w:rsidR="00915ABD" w:rsidRPr="00206BDD">
        <w:rPr>
          <w:noProof/>
        </w:rPr>
        <w:fldChar w:fldCharType="end"/>
      </w:r>
      <w:bookmarkEnd w:id="93"/>
      <w:r w:rsidRPr="00206BDD">
        <w:t xml:space="preserve"> Actual and modelled net inter-zonal trade, </w:t>
      </w:r>
      <w:r w:rsidR="007456EE" w:rsidRPr="00206BDD">
        <w:t>by trading zone, 2002–03 to 2016</w:t>
      </w:r>
      <w:r w:rsidRPr="00206BDD">
        <w:t>–1</w:t>
      </w:r>
      <w:r w:rsidR="007456EE" w:rsidRPr="00206BDD">
        <w:t>7</w:t>
      </w:r>
      <w:bookmarkEnd w:id="94"/>
    </w:p>
    <w:p w14:paraId="5344DF6C" w14:textId="143904C6" w:rsidR="00F573A8" w:rsidRPr="00F573A8" w:rsidRDefault="00206BDD" w:rsidP="00777422">
      <w:pPr>
        <w:pStyle w:val="Notesourcetext"/>
      </w:pPr>
      <w:r w:rsidRPr="00206BDD">
        <w:rPr>
          <w:rStyle w:val="NotesourcetextChar"/>
          <w:noProof/>
          <w:lang w:eastAsia="en-AU"/>
        </w:rPr>
        <w:drawing>
          <wp:inline distT="0" distB="0" distL="0" distR="0" wp14:anchorId="10E2AA95" wp14:editId="7D0785EB">
            <wp:extent cx="5759450" cy="5428972"/>
            <wp:effectExtent l="0" t="0" r="0" b="635"/>
            <wp:docPr id="23" name="Picture 23" descr="\\Act001cl06fs02\abares_data$\ProductivityAndWaterAndSocial\Water\_Projects\2016-08_Water_trade_model\_InProgress\images\scen_8_charts_revised\Scenario_8_interzonalflow_by_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001cl06fs02\abares_data$\ProductivityAndWaterAndSocial\Water\_Projects\2016-08_Water_trade_model\_InProgress\images\scen_8_charts_revised\Scenario_8_interzonalflow_by_zo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5428972"/>
                    </a:xfrm>
                    <a:prstGeom prst="rect">
                      <a:avLst/>
                    </a:prstGeom>
                    <a:noFill/>
                    <a:ln>
                      <a:noFill/>
                    </a:ln>
                  </pic:spPr>
                </pic:pic>
              </a:graphicData>
            </a:graphic>
          </wp:inline>
        </w:drawing>
      </w:r>
      <w:r w:rsidR="00A55343">
        <w:rPr>
          <w:rStyle w:val="NotesourcetextChar"/>
        </w:rPr>
        <w:br/>
      </w:r>
      <w:r w:rsidR="00F573A8" w:rsidRPr="007D631E">
        <w:rPr>
          <w:rStyle w:val="NotesourcetextChar"/>
        </w:rPr>
        <w:t xml:space="preserve">Note: Barmah above is </w:t>
      </w:r>
      <w:r w:rsidR="00F573A8">
        <w:rPr>
          <w:rStyle w:val="NotesourcetextChar"/>
        </w:rPr>
        <w:t>the model trading zone 1</w:t>
      </w:r>
      <w:r w:rsidR="00F573A8" w:rsidRPr="007D631E">
        <w:rPr>
          <w:rStyle w:val="NotesourcetextChar"/>
        </w:rPr>
        <w:t xml:space="preserve">; Barmah below is </w:t>
      </w:r>
      <w:r w:rsidR="00F573A8">
        <w:rPr>
          <w:rStyle w:val="NotesourcetextChar"/>
        </w:rPr>
        <w:t>model trading zone 5</w:t>
      </w:r>
    </w:p>
    <w:p w14:paraId="143C1298" w14:textId="77777777" w:rsidR="007B0D9E" w:rsidRPr="007B0D9E" w:rsidRDefault="007B0D9E" w:rsidP="007B0D9E">
      <w:pPr>
        <w:pStyle w:val="BodyText1"/>
      </w:pPr>
      <w:r w:rsidRPr="007B0D9E">
        <w:br w:type="page"/>
      </w:r>
    </w:p>
    <w:p w14:paraId="5FA21B52" w14:textId="77777777" w:rsidR="0005712A" w:rsidRDefault="0005712A" w:rsidP="00F573A8">
      <w:pPr>
        <w:pStyle w:val="Heading2"/>
      </w:pPr>
      <w:bookmarkStart w:id="95" w:name="_Toc505345870"/>
      <w:r>
        <w:lastRenderedPageBreak/>
        <w:t>Irrigation activity</w:t>
      </w:r>
      <w:bookmarkEnd w:id="95"/>
    </w:p>
    <w:p w14:paraId="68FF0B47" w14:textId="77777777" w:rsidR="00AE19D9" w:rsidRDefault="00E40A8C" w:rsidP="003C4215">
      <w:pPr>
        <w:pStyle w:val="BodyText1"/>
      </w:pPr>
      <w:r>
        <w:t xml:space="preserve">Model results for total water use and land use are shown in </w:t>
      </w:r>
      <w:r w:rsidR="00C4031B">
        <w:fldChar w:fldCharType="begin"/>
      </w:r>
      <w:r w:rsidR="00C4031B">
        <w:instrText xml:space="preserve"> REF _Ref486529382 \h </w:instrText>
      </w:r>
      <w:r w:rsidR="00C4031B">
        <w:fldChar w:fldCharType="separate"/>
      </w:r>
      <w:r w:rsidR="00F709AB" w:rsidRPr="00206BDD">
        <w:t xml:space="preserve">Figure </w:t>
      </w:r>
      <w:r w:rsidR="00F709AB">
        <w:rPr>
          <w:noProof/>
        </w:rPr>
        <w:t>8</w:t>
      </w:r>
      <w:r w:rsidR="00C4031B">
        <w:fldChar w:fldCharType="end"/>
      </w:r>
      <w:r w:rsidR="00C4031B">
        <w:t xml:space="preserve"> </w:t>
      </w:r>
      <w:r>
        <w:t xml:space="preserve">and </w:t>
      </w:r>
      <w:r w:rsidR="00C4031B">
        <w:fldChar w:fldCharType="begin"/>
      </w:r>
      <w:r w:rsidR="00C4031B">
        <w:instrText xml:space="preserve"> REF _Ref486529389 \h </w:instrText>
      </w:r>
      <w:r w:rsidR="00C4031B">
        <w:fldChar w:fldCharType="separate"/>
      </w:r>
      <w:r w:rsidR="00F709AB" w:rsidRPr="00DE05F1">
        <w:t xml:space="preserve">Figure </w:t>
      </w:r>
      <w:r w:rsidR="00F709AB">
        <w:rPr>
          <w:noProof/>
        </w:rPr>
        <w:t>9</w:t>
      </w:r>
      <w:r w:rsidR="00C4031B">
        <w:fldChar w:fldCharType="end"/>
      </w:r>
      <w:r>
        <w:t>.</w:t>
      </w:r>
      <w:r w:rsidR="00893A83">
        <w:t xml:space="preserve"> </w:t>
      </w:r>
      <w:r w:rsidR="00CF4CFE">
        <w:t>Trends in irrigated land use are reflected in total water use and t</w:t>
      </w:r>
      <w:r w:rsidR="00893A83">
        <w:t xml:space="preserve">he model is able to accurately recreate </w:t>
      </w:r>
      <w:r w:rsidR="00CF4CFE">
        <w:t>key historical trends. For example,</w:t>
      </w:r>
      <w:r w:rsidR="003C4215">
        <w:t xml:space="preserve"> a d</w:t>
      </w:r>
      <w:r w:rsidR="002F0E76">
        <w:t>ecrease in irrigated land use and water use duri</w:t>
      </w:r>
      <w:r w:rsidR="003C4215">
        <w:t>ng drought years, and an i</w:t>
      </w:r>
      <w:r w:rsidR="002F0E76">
        <w:t xml:space="preserve">ncrease in irrigated land use </w:t>
      </w:r>
      <w:r w:rsidR="005D7DAA">
        <w:t xml:space="preserve">for most years </w:t>
      </w:r>
      <w:r w:rsidR="002F0E76">
        <w:t>between 2008–09 and 2012–13.</w:t>
      </w:r>
      <w:r w:rsidR="00A76B9D">
        <w:t xml:space="preserve"> </w:t>
      </w:r>
    </w:p>
    <w:p w14:paraId="1B60919D" w14:textId="12E2FD8D" w:rsidR="007B0D9E" w:rsidRDefault="00AE19D9" w:rsidP="003C4215">
      <w:pPr>
        <w:pStyle w:val="BodyText1"/>
      </w:pPr>
      <w:r>
        <w:t>Out of sample results, indicated by the grey shaded bands in each figure</w:t>
      </w:r>
      <w:r w:rsidR="007B0D9E">
        <w:t>. While the out-of-sample performance is reasonable, the model tend</w:t>
      </w:r>
      <w:r w:rsidR="00EF099E">
        <w:t>s</w:t>
      </w:r>
      <w:r w:rsidR="007B0D9E">
        <w:t xml:space="preserve"> to overestimate water use in South Australia and Victoria during the period 2002</w:t>
      </w:r>
      <w:r w:rsidR="00802327">
        <w:t>–03 to 2004–</w:t>
      </w:r>
      <w:r w:rsidR="007B0D9E">
        <w:t>05. However, it is worth</w:t>
      </w:r>
      <w:r w:rsidR="00802327">
        <w:t xml:space="preserve"> noting that for the years 2002–03 to 2004–</w:t>
      </w:r>
      <w:r w:rsidR="007B0D9E">
        <w:t>05 ABS data wa</w:t>
      </w:r>
      <w:r>
        <w:t>s only available for S</w:t>
      </w:r>
      <w:r w:rsidR="007B0D9E">
        <w:t>tatistical Division (SD) region level (rather than the NRM regions that applied from 2005</w:t>
      </w:r>
      <w:r w:rsidR="00802327">
        <w:t>–</w:t>
      </w:r>
      <w:r w:rsidR="007B0D9E">
        <w:t xml:space="preserve">06). This creates something of a structural break in the data which could </w:t>
      </w:r>
      <w:r w:rsidR="00EF099E">
        <w:t>contribute to</w:t>
      </w:r>
      <w:r w:rsidR="007B0D9E">
        <w:t xml:space="preserve"> this poor performance. This data issue could be addressed i</w:t>
      </w:r>
      <w:r w:rsidR="007E7595">
        <w:t xml:space="preserve">n future research (see </w:t>
      </w:r>
      <w:r w:rsidR="00F85C2D">
        <w:t>chapter</w:t>
      </w:r>
      <w:r w:rsidR="007E7595">
        <w:t xml:space="preserve"> 6</w:t>
      </w:r>
      <w:r w:rsidR="007B0D9E">
        <w:t xml:space="preserve">). </w:t>
      </w:r>
    </w:p>
    <w:p w14:paraId="62BF004F" w14:textId="2BE8B421" w:rsidR="005F6A10" w:rsidRDefault="005F6A10" w:rsidP="005F6A10">
      <w:pPr>
        <w:pStyle w:val="Caption"/>
      </w:pPr>
      <w:bookmarkStart w:id="96" w:name="_Ref486529382"/>
      <w:bookmarkStart w:id="97" w:name="_Toc505345915"/>
      <w:r w:rsidRPr="00206BDD">
        <w:t xml:space="preserve">Figure </w:t>
      </w:r>
      <w:r w:rsidR="00915ABD" w:rsidRPr="00206BDD">
        <w:fldChar w:fldCharType="begin"/>
      </w:r>
      <w:r w:rsidRPr="00206BDD">
        <w:instrText xml:space="preserve"> SEQ Figure \* ARABIC </w:instrText>
      </w:r>
      <w:r w:rsidR="00915ABD" w:rsidRPr="00206BDD">
        <w:fldChar w:fldCharType="separate"/>
      </w:r>
      <w:r w:rsidR="00F709AB">
        <w:rPr>
          <w:noProof/>
        </w:rPr>
        <w:t>8</w:t>
      </w:r>
      <w:r w:rsidR="00915ABD" w:rsidRPr="00206BDD">
        <w:rPr>
          <w:noProof/>
        </w:rPr>
        <w:fldChar w:fldCharType="end"/>
      </w:r>
      <w:bookmarkEnd w:id="96"/>
      <w:r w:rsidRPr="00206BDD">
        <w:t xml:space="preserve"> Actual and modelled total water</w:t>
      </w:r>
      <w:r w:rsidR="007456EE" w:rsidRPr="00206BDD">
        <w:t xml:space="preserve"> use, by region, 2002–03 to 2016</w:t>
      </w:r>
      <w:r w:rsidRPr="00206BDD">
        <w:t>–1</w:t>
      </w:r>
      <w:r w:rsidR="007456EE" w:rsidRPr="00206BDD">
        <w:t>7</w:t>
      </w:r>
      <w:bookmarkEnd w:id="97"/>
    </w:p>
    <w:p w14:paraId="64850A5A" w14:textId="6DC601A9" w:rsidR="00206BDD" w:rsidRPr="00206BDD" w:rsidRDefault="00206BDD" w:rsidP="00206BDD">
      <w:r w:rsidRPr="00206BDD">
        <w:rPr>
          <w:noProof/>
          <w:lang w:eastAsia="en-AU"/>
        </w:rPr>
        <w:drawing>
          <wp:inline distT="0" distB="0" distL="0" distR="0" wp14:anchorId="052E060F" wp14:editId="1DB47D69">
            <wp:extent cx="5612065" cy="6120000"/>
            <wp:effectExtent l="0" t="0" r="8255" b="0"/>
            <wp:docPr id="22" name="Picture 22" descr="\\Act001cl06fs02\abares_data$\ProductivityAndWaterAndSocial\Water\_Projects\2016-08_Water_trade_model\_InProgress\images\scen_8_charts_revised\Scenario_8_tot_water_byreg_plu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001cl06fs02\abares_data$\ProductivityAndWaterAndSocial\Water\_Projects\2016-08_Water_trade_model\_InProgress\images\scen_8_charts_revised\Scenario_8_tot_water_byreg_plusS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065" cy="6120000"/>
                    </a:xfrm>
                    <a:prstGeom prst="rect">
                      <a:avLst/>
                    </a:prstGeom>
                    <a:noFill/>
                    <a:ln>
                      <a:noFill/>
                    </a:ln>
                  </pic:spPr>
                </pic:pic>
              </a:graphicData>
            </a:graphic>
          </wp:inline>
        </w:drawing>
      </w:r>
    </w:p>
    <w:p w14:paraId="2D6BF38A" w14:textId="129BD678" w:rsidR="005F6A10" w:rsidRDefault="005F6A10" w:rsidP="005F6A10">
      <w:pPr>
        <w:pStyle w:val="Caption"/>
      </w:pPr>
      <w:bookmarkStart w:id="98" w:name="_Ref486529389"/>
      <w:bookmarkStart w:id="99" w:name="_Toc505345916"/>
      <w:r w:rsidRPr="00DE05F1">
        <w:lastRenderedPageBreak/>
        <w:t xml:space="preserve">Figure </w:t>
      </w:r>
      <w:r w:rsidR="00915ABD" w:rsidRPr="00DE05F1">
        <w:fldChar w:fldCharType="begin"/>
      </w:r>
      <w:r w:rsidRPr="00DE05F1">
        <w:instrText xml:space="preserve"> SEQ Figure \* ARABIC </w:instrText>
      </w:r>
      <w:r w:rsidR="00915ABD" w:rsidRPr="00DE05F1">
        <w:fldChar w:fldCharType="separate"/>
      </w:r>
      <w:r w:rsidR="00F709AB">
        <w:rPr>
          <w:noProof/>
        </w:rPr>
        <w:t>9</w:t>
      </w:r>
      <w:r w:rsidR="00915ABD" w:rsidRPr="00DE05F1">
        <w:rPr>
          <w:noProof/>
        </w:rPr>
        <w:fldChar w:fldCharType="end"/>
      </w:r>
      <w:bookmarkEnd w:id="98"/>
      <w:r w:rsidRPr="00DE05F1">
        <w:t xml:space="preserve"> Actual and modelled </w:t>
      </w:r>
      <w:r w:rsidR="00D0751F" w:rsidRPr="00DE05F1">
        <w:t xml:space="preserve">total </w:t>
      </w:r>
      <w:r w:rsidRPr="00DE05F1">
        <w:t>irrigated land</w:t>
      </w:r>
      <w:r w:rsidR="00802327" w:rsidRPr="00DE05F1">
        <w:t xml:space="preserve"> use, by region, 2002–03 to 2016</w:t>
      </w:r>
      <w:r w:rsidRPr="00DE05F1">
        <w:t>–1</w:t>
      </w:r>
      <w:r w:rsidR="00802327" w:rsidRPr="00DE05F1">
        <w:t>7</w:t>
      </w:r>
      <w:bookmarkEnd w:id="99"/>
    </w:p>
    <w:p w14:paraId="216ACC47" w14:textId="36071DFB" w:rsidR="00A8755E" w:rsidRDefault="00206BDD" w:rsidP="00797B4F">
      <w:pPr>
        <w:pStyle w:val="BodyText1"/>
        <w:rPr>
          <w:rStyle w:val="NotesourcetextChar"/>
        </w:rPr>
      </w:pPr>
      <w:r w:rsidRPr="00206BDD">
        <w:rPr>
          <w:noProof/>
          <w:lang w:eastAsia="en-AU"/>
        </w:rPr>
        <w:drawing>
          <wp:inline distT="0" distB="0" distL="0" distR="0" wp14:anchorId="16F756B1" wp14:editId="5F1FDD98">
            <wp:extent cx="5612065" cy="6120000"/>
            <wp:effectExtent l="0" t="0" r="8255" b="0"/>
            <wp:docPr id="21" name="Picture 21" descr="\\Act001cl06fs02\abares_data$\ProductivityAndWaterAndSocial\Water\_Projects\2016-08_Water_trade_model\_InProgress\images\scen_8_charts_revised\Scenario_8_tot_land_byreg_plus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001cl06fs02\abares_data$\ProductivityAndWaterAndSocial\Water\_Projects\2016-08_Water_trade_model\_InProgress\images\scen_8_charts_revised\Scenario_8_tot_land_byreg_plusS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065" cy="6120000"/>
                    </a:xfrm>
                    <a:prstGeom prst="rect">
                      <a:avLst/>
                    </a:prstGeom>
                    <a:noFill/>
                    <a:ln>
                      <a:noFill/>
                    </a:ln>
                  </pic:spPr>
                </pic:pic>
              </a:graphicData>
            </a:graphic>
          </wp:inline>
        </w:drawing>
      </w:r>
      <w:r w:rsidR="005F6A10">
        <w:br/>
      </w:r>
    </w:p>
    <w:p w14:paraId="192B7CCA" w14:textId="77777777" w:rsidR="00D10E30" w:rsidRDefault="00D10E30" w:rsidP="007B0D9E">
      <w:pPr>
        <w:pStyle w:val="Heading2"/>
      </w:pPr>
      <w:bookmarkStart w:id="100" w:name="_Toc505345871"/>
      <w:r>
        <w:t>Entitlement prices</w:t>
      </w:r>
      <w:bookmarkEnd w:id="100"/>
    </w:p>
    <w:p w14:paraId="345EFF51" w14:textId="77777777" w:rsidR="00FE00CD" w:rsidRDefault="00FE00CD" w:rsidP="0047277C">
      <w:pPr>
        <w:pStyle w:val="BodyText1"/>
      </w:pPr>
      <w:r>
        <w:t xml:space="preserve">As discussed, entitlement prices are estimated as the discounted value of allocations, based on average allocation prices and percentages over the full model period. In order to predict </w:t>
      </w:r>
      <w:r w:rsidR="00641A4D">
        <w:t>current</w:t>
      </w:r>
      <w:r>
        <w:t xml:space="preserve"> water entitlement prices</w:t>
      </w:r>
      <w:r w:rsidR="00641A4D">
        <w:t>,</w:t>
      </w:r>
      <w:r>
        <w:t xml:space="preserve"> the model baseline is adjusted such that current levels of environmental water recovery are applied from the beginning of the period, to simulate likely allocation prices going forward.</w:t>
      </w:r>
    </w:p>
    <w:p w14:paraId="3B75872A" w14:textId="00C5EEA5" w:rsidR="00853A13" w:rsidRDefault="00C4031B" w:rsidP="0047277C">
      <w:pPr>
        <w:pStyle w:val="BodyText1"/>
      </w:pPr>
      <w:r>
        <w:fldChar w:fldCharType="begin"/>
      </w:r>
      <w:r>
        <w:instrText xml:space="preserve"> REF _Ref486529657 \h </w:instrText>
      </w:r>
      <w:r>
        <w:fldChar w:fldCharType="separate"/>
      </w:r>
      <w:r w:rsidR="00F709AB">
        <w:t xml:space="preserve">Table </w:t>
      </w:r>
      <w:r w:rsidR="00F709AB">
        <w:rPr>
          <w:noProof/>
        </w:rPr>
        <w:t>17</w:t>
      </w:r>
      <w:r>
        <w:fldChar w:fldCharType="end"/>
      </w:r>
      <w:r>
        <w:t xml:space="preserve"> </w:t>
      </w:r>
      <w:r w:rsidR="00CE29A0">
        <w:t>shows the estimated entitlement prices for different entitlement types</w:t>
      </w:r>
      <w:r w:rsidR="00FE00CD">
        <w:t xml:space="preserve"> compared with market prices as of June 201</w:t>
      </w:r>
      <w:r w:rsidR="00802327">
        <w:t>7</w:t>
      </w:r>
      <w:r w:rsidR="00FE00CD">
        <w:t xml:space="preserve">. </w:t>
      </w:r>
      <w:r>
        <w:fldChar w:fldCharType="begin"/>
      </w:r>
      <w:r>
        <w:instrText xml:space="preserve"> REF _Ref486529675 \h </w:instrText>
      </w:r>
      <w:r>
        <w:fldChar w:fldCharType="separate"/>
      </w:r>
      <w:r w:rsidR="00F709AB">
        <w:t xml:space="preserve">Figure </w:t>
      </w:r>
      <w:r w:rsidR="00F709AB">
        <w:rPr>
          <w:noProof/>
        </w:rPr>
        <w:t>10</w:t>
      </w:r>
      <w:r>
        <w:fldChar w:fldCharType="end"/>
      </w:r>
      <w:r w:rsidR="00CE29A0">
        <w:t xml:space="preserve"> </w:t>
      </w:r>
      <w:r w:rsidR="00FE00CD">
        <w:t>provides a scatter of actual vs predicted</w:t>
      </w:r>
      <w:r w:rsidR="00CE29A0">
        <w:t xml:space="preserve"> entitlement. </w:t>
      </w:r>
      <w:r w:rsidR="00FE00CD">
        <w:t xml:space="preserve">The models simple methodology for estimating entitlement prices </w:t>
      </w:r>
      <w:r w:rsidR="00EF099E">
        <w:t xml:space="preserve">is able to explain much of the </w:t>
      </w:r>
      <w:r w:rsidR="00FE00CD">
        <w:t>variation in entitlement prices between regions and reliability types.</w:t>
      </w:r>
      <w:r w:rsidR="00EF099E">
        <w:t xml:space="preserve"> However, it should be noted that the ability of the model to predict changes in entitlement prices over time has not </w:t>
      </w:r>
      <w:r w:rsidR="00EF099E">
        <w:lastRenderedPageBreak/>
        <w:t xml:space="preserve">been tested. In practice, predicting future changes in entitlement prices is difficult, given these depend on market expectations </w:t>
      </w:r>
      <w:r w:rsidR="00486376">
        <w:t>of</w:t>
      </w:r>
      <w:r w:rsidR="00EF099E">
        <w:t xml:space="preserve"> future water supply and demand conditions</w:t>
      </w:r>
      <w:r w:rsidR="0010700C">
        <w:t xml:space="preserve"> (including potential changes in irrigated land use, climate and water demand)</w:t>
      </w:r>
      <w:r w:rsidR="00EF099E">
        <w:t>.</w:t>
      </w:r>
    </w:p>
    <w:p w14:paraId="26CF2DB3" w14:textId="77777777" w:rsidR="00853A13" w:rsidRDefault="00853A13" w:rsidP="00853A13">
      <w:pPr>
        <w:pStyle w:val="Caption"/>
      </w:pPr>
      <w:bookmarkStart w:id="101" w:name="_Ref486529657"/>
      <w:bookmarkStart w:id="102" w:name="_Toc491356926"/>
      <w:bookmarkStart w:id="103" w:name="_Toc505345900"/>
      <w:r>
        <w:t xml:space="preserve">Table </w:t>
      </w:r>
      <w:fldSimple w:instr=" SEQ Table \* ARABIC ">
        <w:r w:rsidR="00F709AB">
          <w:rPr>
            <w:noProof/>
          </w:rPr>
          <w:t>17</w:t>
        </w:r>
      </w:fldSimple>
      <w:bookmarkEnd w:id="101"/>
      <w:r>
        <w:t xml:space="preserve"> Actual and modelled entitlement prices, as at June 2016</w:t>
      </w:r>
      <w:bookmarkEnd w:id="102"/>
      <w:bookmarkEnd w:id="103"/>
    </w:p>
    <w:tbl>
      <w:tblPr>
        <w:tblW w:w="8835" w:type="dxa"/>
        <w:tblInd w:w="96" w:type="dxa"/>
        <w:tblLayout w:type="fixed"/>
        <w:tblLook w:val="04A0" w:firstRow="1" w:lastRow="0" w:firstColumn="1" w:lastColumn="0" w:noHBand="0" w:noVBand="1"/>
      </w:tblPr>
      <w:tblGrid>
        <w:gridCol w:w="2989"/>
        <w:gridCol w:w="2552"/>
        <w:gridCol w:w="3294"/>
      </w:tblGrid>
      <w:tr w:rsidR="00853A13" w:rsidRPr="00C50020" w14:paraId="3F5C962C" w14:textId="77777777" w:rsidTr="00FE00CD">
        <w:trPr>
          <w:trHeight w:val="300"/>
        </w:trPr>
        <w:tc>
          <w:tcPr>
            <w:tcW w:w="2989" w:type="dxa"/>
            <w:tcBorders>
              <w:top w:val="single" w:sz="4" w:space="0" w:color="auto"/>
              <w:left w:val="nil"/>
              <w:bottom w:val="single" w:sz="4" w:space="0" w:color="auto"/>
              <w:right w:val="nil"/>
            </w:tcBorders>
            <w:shd w:val="clear" w:color="auto" w:fill="auto"/>
            <w:noWrap/>
            <w:vAlign w:val="bottom"/>
            <w:hideMark/>
          </w:tcPr>
          <w:p w14:paraId="751904E4" w14:textId="77777777" w:rsidR="00853A13" w:rsidRPr="00C50020" w:rsidRDefault="00853A13" w:rsidP="00C50020">
            <w:pPr>
              <w:pStyle w:val="Tabletext"/>
              <w:rPr>
                <w:b/>
              </w:rPr>
            </w:pPr>
            <w:r w:rsidRPr="00C50020">
              <w:rPr>
                <w:b/>
              </w:rPr>
              <w:t>Entitlement type</w:t>
            </w:r>
          </w:p>
        </w:tc>
        <w:tc>
          <w:tcPr>
            <w:tcW w:w="2552" w:type="dxa"/>
            <w:tcBorders>
              <w:top w:val="single" w:sz="4" w:space="0" w:color="auto"/>
              <w:left w:val="nil"/>
              <w:bottom w:val="single" w:sz="4" w:space="0" w:color="auto"/>
              <w:right w:val="nil"/>
            </w:tcBorders>
            <w:shd w:val="clear" w:color="auto" w:fill="auto"/>
            <w:noWrap/>
            <w:vAlign w:val="bottom"/>
            <w:hideMark/>
          </w:tcPr>
          <w:p w14:paraId="5BDD8900" w14:textId="77777777" w:rsidR="00853A13" w:rsidRPr="00C50020" w:rsidRDefault="00853A13" w:rsidP="00C50020">
            <w:pPr>
              <w:pStyle w:val="Tabletext"/>
              <w:jc w:val="right"/>
              <w:rPr>
                <w:b/>
              </w:rPr>
            </w:pPr>
            <w:r w:rsidRPr="00C50020">
              <w:rPr>
                <w:b/>
              </w:rPr>
              <w:t>Model estimate</w:t>
            </w:r>
            <w:r w:rsidR="00FE00CD" w:rsidRPr="00C50020">
              <w:rPr>
                <w:b/>
              </w:rPr>
              <w:t xml:space="preserve"> ($/ML)</w:t>
            </w:r>
          </w:p>
        </w:tc>
        <w:tc>
          <w:tcPr>
            <w:tcW w:w="3294" w:type="dxa"/>
            <w:tcBorders>
              <w:top w:val="single" w:sz="4" w:space="0" w:color="auto"/>
              <w:left w:val="nil"/>
              <w:bottom w:val="single" w:sz="4" w:space="0" w:color="auto"/>
              <w:right w:val="nil"/>
            </w:tcBorders>
            <w:shd w:val="clear" w:color="auto" w:fill="auto"/>
            <w:noWrap/>
            <w:vAlign w:val="bottom"/>
            <w:hideMark/>
          </w:tcPr>
          <w:p w14:paraId="5CDDADAC" w14:textId="4F71D4EB" w:rsidR="00853A13" w:rsidRPr="00C50020" w:rsidRDefault="00FE00CD" w:rsidP="00C50020">
            <w:pPr>
              <w:pStyle w:val="Tabletext"/>
              <w:jc w:val="right"/>
              <w:rPr>
                <w:b/>
              </w:rPr>
            </w:pPr>
            <w:r w:rsidRPr="00C50020">
              <w:rPr>
                <w:b/>
              </w:rPr>
              <w:t>Market</w:t>
            </w:r>
            <w:r w:rsidR="008E1AD6" w:rsidRPr="00C50020">
              <w:rPr>
                <w:b/>
              </w:rPr>
              <w:t xml:space="preserve"> price –</w:t>
            </w:r>
            <w:r w:rsidR="00853A13" w:rsidRPr="00C50020">
              <w:rPr>
                <w:b/>
              </w:rPr>
              <w:t xml:space="preserve"> June</w:t>
            </w:r>
            <w:r w:rsidR="00075080">
              <w:rPr>
                <w:b/>
              </w:rPr>
              <w:t xml:space="preserve"> 2017</w:t>
            </w:r>
            <w:r w:rsidRPr="00C50020">
              <w:rPr>
                <w:b/>
              </w:rPr>
              <w:t xml:space="preserve"> ($/ML)</w:t>
            </w:r>
          </w:p>
        </w:tc>
      </w:tr>
      <w:tr w:rsidR="005A7EFD" w:rsidRPr="00C50020" w14:paraId="2367A586" w14:textId="77777777" w:rsidTr="00FE00CD">
        <w:trPr>
          <w:trHeight w:val="300"/>
        </w:trPr>
        <w:tc>
          <w:tcPr>
            <w:tcW w:w="2989" w:type="dxa"/>
            <w:tcBorders>
              <w:top w:val="single" w:sz="4" w:space="0" w:color="auto"/>
              <w:left w:val="nil"/>
              <w:bottom w:val="nil"/>
              <w:right w:val="nil"/>
            </w:tcBorders>
            <w:shd w:val="clear" w:color="auto" w:fill="auto"/>
            <w:noWrap/>
            <w:vAlign w:val="bottom"/>
            <w:hideMark/>
          </w:tcPr>
          <w:p w14:paraId="5DF9E508" w14:textId="77777777" w:rsidR="005A7EFD" w:rsidRPr="00C50020" w:rsidRDefault="005A7EFD" w:rsidP="00C50020">
            <w:pPr>
              <w:pStyle w:val="Tabletext"/>
            </w:pPr>
            <w:r w:rsidRPr="00C50020">
              <w:t>NSW Lower Darling General</w:t>
            </w:r>
          </w:p>
        </w:tc>
        <w:tc>
          <w:tcPr>
            <w:tcW w:w="2552" w:type="dxa"/>
            <w:tcBorders>
              <w:top w:val="single" w:sz="4" w:space="0" w:color="auto"/>
              <w:left w:val="nil"/>
              <w:bottom w:val="nil"/>
              <w:right w:val="nil"/>
            </w:tcBorders>
            <w:shd w:val="clear" w:color="auto" w:fill="auto"/>
            <w:noWrap/>
            <w:vAlign w:val="bottom"/>
            <w:hideMark/>
          </w:tcPr>
          <w:p w14:paraId="56D455F2" w14:textId="5DE47787" w:rsidR="005A7EFD" w:rsidRPr="00C50020" w:rsidRDefault="00075080" w:rsidP="00C50020">
            <w:pPr>
              <w:pStyle w:val="Tabletext"/>
              <w:jc w:val="right"/>
            </w:pPr>
            <w:r>
              <w:t>1104</w:t>
            </w:r>
          </w:p>
        </w:tc>
        <w:tc>
          <w:tcPr>
            <w:tcW w:w="3294" w:type="dxa"/>
            <w:tcBorders>
              <w:top w:val="single" w:sz="4" w:space="0" w:color="auto"/>
              <w:left w:val="nil"/>
              <w:bottom w:val="nil"/>
              <w:right w:val="nil"/>
            </w:tcBorders>
            <w:shd w:val="clear" w:color="auto" w:fill="auto"/>
            <w:noWrap/>
            <w:vAlign w:val="bottom"/>
            <w:hideMark/>
          </w:tcPr>
          <w:p w14:paraId="2AF2104A" w14:textId="7D8FF944" w:rsidR="005A7EFD" w:rsidRPr="00C50020" w:rsidRDefault="005A7EFD" w:rsidP="00C50020">
            <w:pPr>
              <w:pStyle w:val="Tabletext"/>
              <w:jc w:val="right"/>
            </w:pPr>
          </w:p>
        </w:tc>
      </w:tr>
      <w:tr w:rsidR="005A7EFD" w:rsidRPr="00C50020" w14:paraId="2C21B1CA" w14:textId="77777777" w:rsidTr="00FE00CD">
        <w:trPr>
          <w:trHeight w:val="300"/>
        </w:trPr>
        <w:tc>
          <w:tcPr>
            <w:tcW w:w="2989" w:type="dxa"/>
            <w:tcBorders>
              <w:top w:val="nil"/>
              <w:left w:val="nil"/>
              <w:bottom w:val="nil"/>
              <w:right w:val="nil"/>
            </w:tcBorders>
            <w:shd w:val="clear" w:color="auto" w:fill="auto"/>
            <w:noWrap/>
            <w:vAlign w:val="bottom"/>
            <w:hideMark/>
          </w:tcPr>
          <w:p w14:paraId="5A45D9D3" w14:textId="77777777" w:rsidR="005A7EFD" w:rsidRPr="00C50020" w:rsidRDefault="005A7EFD" w:rsidP="00C50020">
            <w:pPr>
              <w:pStyle w:val="Tabletext"/>
            </w:pPr>
            <w:r w:rsidRPr="00C50020">
              <w:t>NSW Lower Darling High</w:t>
            </w:r>
          </w:p>
        </w:tc>
        <w:tc>
          <w:tcPr>
            <w:tcW w:w="2552" w:type="dxa"/>
            <w:tcBorders>
              <w:top w:val="nil"/>
              <w:left w:val="nil"/>
              <w:bottom w:val="nil"/>
              <w:right w:val="nil"/>
            </w:tcBorders>
            <w:shd w:val="clear" w:color="auto" w:fill="auto"/>
            <w:noWrap/>
            <w:vAlign w:val="bottom"/>
            <w:hideMark/>
          </w:tcPr>
          <w:p w14:paraId="44C24CD1" w14:textId="04F8B443" w:rsidR="005A7EFD" w:rsidRPr="00C50020" w:rsidRDefault="00075080" w:rsidP="00C50020">
            <w:pPr>
              <w:pStyle w:val="Tabletext"/>
              <w:jc w:val="right"/>
            </w:pPr>
            <w:r>
              <w:t>1654</w:t>
            </w:r>
          </w:p>
        </w:tc>
        <w:tc>
          <w:tcPr>
            <w:tcW w:w="3294" w:type="dxa"/>
            <w:tcBorders>
              <w:top w:val="nil"/>
              <w:left w:val="nil"/>
              <w:bottom w:val="nil"/>
              <w:right w:val="nil"/>
            </w:tcBorders>
            <w:shd w:val="clear" w:color="auto" w:fill="auto"/>
            <w:noWrap/>
            <w:vAlign w:val="bottom"/>
            <w:hideMark/>
          </w:tcPr>
          <w:p w14:paraId="6D09CD9B" w14:textId="78E82994" w:rsidR="005A7EFD" w:rsidRPr="00C50020" w:rsidRDefault="00075080" w:rsidP="00C50020">
            <w:pPr>
              <w:pStyle w:val="Tabletext"/>
              <w:jc w:val="right"/>
            </w:pPr>
            <w:r>
              <w:t>1600</w:t>
            </w:r>
          </w:p>
        </w:tc>
      </w:tr>
      <w:tr w:rsidR="005A7EFD" w:rsidRPr="00C50020" w14:paraId="187E383D" w14:textId="77777777" w:rsidTr="00FE00CD">
        <w:trPr>
          <w:trHeight w:val="300"/>
        </w:trPr>
        <w:tc>
          <w:tcPr>
            <w:tcW w:w="2989" w:type="dxa"/>
            <w:tcBorders>
              <w:top w:val="nil"/>
              <w:left w:val="nil"/>
              <w:bottom w:val="nil"/>
              <w:right w:val="nil"/>
            </w:tcBorders>
            <w:shd w:val="clear" w:color="auto" w:fill="auto"/>
            <w:noWrap/>
            <w:vAlign w:val="bottom"/>
            <w:hideMark/>
          </w:tcPr>
          <w:p w14:paraId="23AE5D3D" w14:textId="77777777" w:rsidR="005A7EFD" w:rsidRPr="00C50020" w:rsidRDefault="005A7EFD" w:rsidP="00C50020">
            <w:pPr>
              <w:pStyle w:val="Tabletext"/>
            </w:pPr>
            <w:r w:rsidRPr="00C50020">
              <w:t>NSW Murray General</w:t>
            </w:r>
          </w:p>
        </w:tc>
        <w:tc>
          <w:tcPr>
            <w:tcW w:w="2552" w:type="dxa"/>
            <w:tcBorders>
              <w:top w:val="nil"/>
              <w:left w:val="nil"/>
              <w:bottom w:val="nil"/>
              <w:right w:val="nil"/>
            </w:tcBorders>
            <w:shd w:val="clear" w:color="auto" w:fill="auto"/>
            <w:noWrap/>
            <w:vAlign w:val="bottom"/>
            <w:hideMark/>
          </w:tcPr>
          <w:p w14:paraId="733BB23E" w14:textId="641D329C" w:rsidR="005A7EFD" w:rsidRPr="00C50020" w:rsidRDefault="00075080" w:rsidP="00C50020">
            <w:pPr>
              <w:pStyle w:val="Tabletext"/>
              <w:jc w:val="right"/>
            </w:pPr>
            <w:r>
              <w:t>880</w:t>
            </w:r>
          </w:p>
        </w:tc>
        <w:tc>
          <w:tcPr>
            <w:tcW w:w="3294" w:type="dxa"/>
            <w:tcBorders>
              <w:top w:val="nil"/>
              <w:left w:val="nil"/>
              <w:bottom w:val="nil"/>
              <w:right w:val="nil"/>
            </w:tcBorders>
            <w:shd w:val="clear" w:color="auto" w:fill="auto"/>
            <w:noWrap/>
            <w:vAlign w:val="bottom"/>
            <w:hideMark/>
          </w:tcPr>
          <w:p w14:paraId="5431E07F" w14:textId="2FFAC4C4" w:rsidR="005A7EFD" w:rsidRPr="00C50020" w:rsidRDefault="00075080" w:rsidP="00C50020">
            <w:pPr>
              <w:pStyle w:val="Tabletext"/>
              <w:jc w:val="right"/>
            </w:pPr>
            <w:r>
              <w:t>1241</w:t>
            </w:r>
          </w:p>
        </w:tc>
      </w:tr>
      <w:tr w:rsidR="005A7EFD" w:rsidRPr="00C50020" w14:paraId="3A8663D5" w14:textId="77777777" w:rsidTr="00FE00CD">
        <w:trPr>
          <w:trHeight w:val="300"/>
        </w:trPr>
        <w:tc>
          <w:tcPr>
            <w:tcW w:w="2989" w:type="dxa"/>
            <w:tcBorders>
              <w:top w:val="nil"/>
              <w:left w:val="nil"/>
              <w:bottom w:val="nil"/>
              <w:right w:val="nil"/>
            </w:tcBorders>
            <w:shd w:val="clear" w:color="auto" w:fill="auto"/>
            <w:noWrap/>
            <w:vAlign w:val="bottom"/>
            <w:hideMark/>
          </w:tcPr>
          <w:p w14:paraId="3D40364E" w14:textId="77777777" w:rsidR="005A7EFD" w:rsidRPr="00C50020" w:rsidRDefault="005A7EFD" w:rsidP="00C50020">
            <w:pPr>
              <w:pStyle w:val="Tabletext"/>
            </w:pPr>
            <w:r w:rsidRPr="00C50020">
              <w:t>NSW Murray High</w:t>
            </w:r>
          </w:p>
        </w:tc>
        <w:tc>
          <w:tcPr>
            <w:tcW w:w="2552" w:type="dxa"/>
            <w:tcBorders>
              <w:top w:val="nil"/>
              <w:left w:val="nil"/>
              <w:bottom w:val="nil"/>
              <w:right w:val="nil"/>
            </w:tcBorders>
            <w:shd w:val="clear" w:color="auto" w:fill="auto"/>
            <w:noWrap/>
            <w:vAlign w:val="bottom"/>
            <w:hideMark/>
          </w:tcPr>
          <w:p w14:paraId="63702660" w14:textId="0E68D3E6" w:rsidR="005A7EFD" w:rsidRPr="00C50020" w:rsidRDefault="00075080" w:rsidP="00C50020">
            <w:pPr>
              <w:pStyle w:val="Tabletext"/>
              <w:jc w:val="right"/>
            </w:pPr>
            <w:r>
              <w:t>3204</w:t>
            </w:r>
          </w:p>
        </w:tc>
        <w:tc>
          <w:tcPr>
            <w:tcW w:w="3294" w:type="dxa"/>
            <w:tcBorders>
              <w:top w:val="nil"/>
              <w:left w:val="nil"/>
              <w:bottom w:val="nil"/>
              <w:right w:val="nil"/>
            </w:tcBorders>
            <w:shd w:val="clear" w:color="auto" w:fill="auto"/>
            <w:noWrap/>
            <w:vAlign w:val="bottom"/>
            <w:hideMark/>
          </w:tcPr>
          <w:p w14:paraId="607D1B1F" w14:textId="16F9C4DB" w:rsidR="005A7EFD" w:rsidRPr="00C50020" w:rsidRDefault="00075080" w:rsidP="00C50020">
            <w:pPr>
              <w:pStyle w:val="Tabletext"/>
              <w:jc w:val="right"/>
            </w:pPr>
            <w:r>
              <w:t>3228</w:t>
            </w:r>
          </w:p>
        </w:tc>
      </w:tr>
      <w:tr w:rsidR="005A7EFD" w:rsidRPr="00C50020" w14:paraId="33DA80EF" w14:textId="77777777" w:rsidTr="00FE00CD">
        <w:trPr>
          <w:trHeight w:val="300"/>
        </w:trPr>
        <w:tc>
          <w:tcPr>
            <w:tcW w:w="2989" w:type="dxa"/>
            <w:tcBorders>
              <w:top w:val="nil"/>
              <w:left w:val="nil"/>
              <w:bottom w:val="nil"/>
              <w:right w:val="nil"/>
            </w:tcBorders>
            <w:shd w:val="clear" w:color="auto" w:fill="auto"/>
            <w:noWrap/>
            <w:vAlign w:val="bottom"/>
            <w:hideMark/>
          </w:tcPr>
          <w:p w14:paraId="50B0A79D" w14:textId="77777777" w:rsidR="005A7EFD" w:rsidRPr="00C50020" w:rsidRDefault="005A7EFD" w:rsidP="00C50020">
            <w:pPr>
              <w:pStyle w:val="Tabletext"/>
            </w:pPr>
            <w:r w:rsidRPr="00C50020">
              <w:t>NSW Murrumbidgee General</w:t>
            </w:r>
          </w:p>
        </w:tc>
        <w:tc>
          <w:tcPr>
            <w:tcW w:w="2552" w:type="dxa"/>
            <w:tcBorders>
              <w:top w:val="nil"/>
              <w:left w:val="nil"/>
              <w:bottom w:val="nil"/>
              <w:right w:val="nil"/>
            </w:tcBorders>
            <w:shd w:val="clear" w:color="auto" w:fill="auto"/>
            <w:noWrap/>
            <w:vAlign w:val="bottom"/>
            <w:hideMark/>
          </w:tcPr>
          <w:p w14:paraId="241B0595" w14:textId="5B07E9E6" w:rsidR="005A7EFD" w:rsidRPr="00C50020" w:rsidRDefault="00075080" w:rsidP="00C50020">
            <w:pPr>
              <w:pStyle w:val="Tabletext"/>
              <w:jc w:val="right"/>
            </w:pPr>
            <w:r>
              <w:t>1188</w:t>
            </w:r>
          </w:p>
        </w:tc>
        <w:tc>
          <w:tcPr>
            <w:tcW w:w="3294" w:type="dxa"/>
            <w:tcBorders>
              <w:top w:val="nil"/>
              <w:left w:val="nil"/>
              <w:bottom w:val="nil"/>
              <w:right w:val="nil"/>
            </w:tcBorders>
            <w:shd w:val="clear" w:color="auto" w:fill="auto"/>
            <w:noWrap/>
            <w:vAlign w:val="bottom"/>
            <w:hideMark/>
          </w:tcPr>
          <w:p w14:paraId="3BB1ECE9" w14:textId="0AF38DA1" w:rsidR="005A7EFD" w:rsidRPr="00C50020" w:rsidRDefault="00075080" w:rsidP="00C50020">
            <w:pPr>
              <w:pStyle w:val="Tabletext"/>
              <w:jc w:val="right"/>
            </w:pPr>
            <w:r>
              <w:t>1468</w:t>
            </w:r>
          </w:p>
        </w:tc>
      </w:tr>
      <w:tr w:rsidR="005A7EFD" w:rsidRPr="00C50020" w14:paraId="74AE2425" w14:textId="77777777" w:rsidTr="00FE00CD">
        <w:trPr>
          <w:trHeight w:val="300"/>
        </w:trPr>
        <w:tc>
          <w:tcPr>
            <w:tcW w:w="2989" w:type="dxa"/>
            <w:tcBorders>
              <w:top w:val="nil"/>
              <w:left w:val="nil"/>
              <w:bottom w:val="nil"/>
              <w:right w:val="nil"/>
            </w:tcBorders>
            <w:shd w:val="clear" w:color="auto" w:fill="auto"/>
            <w:noWrap/>
            <w:vAlign w:val="bottom"/>
            <w:hideMark/>
          </w:tcPr>
          <w:p w14:paraId="609125F1" w14:textId="77777777" w:rsidR="005A7EFD" w:rsidRPr="00C50020" w:rsidRDefault="005A7EFD" w:rsidP="00C50020">
            <w:pPr>
              <w:pStyle w:val="Tabletext"/>
            </w:pPr>
            <w:r w:rsidRPr="00C50020">
              <w:t>NSW Murrumbidgee High</w:t>
            </w:r>
          </w:p>
        </w:tc>
        <w:tc>
          <w:tcPr>
            <w:tcW w:w="2552" w:type="dxa"/>
            <w:tcBorders>
              <w:top w:val="nil"/>
              <w:left w:val="nil"/>
              <w:bottom w:val="nil"/>
              <w:right w:val="nil"/>
            </w:tcBorders>
            <w:shd w:val="clear" w:color="auto" w:fill="auto"/>
            <w:noWrap/>
            <w:vAlign w:val="bottom"/>
            <w:hideMark/>
          </w:tcPr>
          <w:p w14:paraId="3B697594" w14:textId="7A03A5CC" w:rsidR="005A7EFD" w:rsidRPr="00C50020" w:rsidRDefault="00075080" w:rsidP="00C50020">
            <w:pPr>
              <w:pStyle w:val="Tabletext"/>
              <w:jc w:val="right"/>
            </w:pPr>
            <w:r>
              <w:t>3631</w:t>
            </w:r>
          </w:p>
        </w:tc>
        <w:tc>
          <w:tcPr>
            <w:tcW w:w="3294" w:type="dxa"/>
            <w:tcBorders>
              <w:top w:val="nil"/>
              <w:left w:val="nil"/>
              <w:bottom w:val="nil"/>
              <w:right w:val="nil"/>
            </w:tcBorders>
            <w:shd w:val="clear" w:color="auto" w:fill="auto"/>
            <w:noWrap/>
            <w:vAlign w:val="bottom"/>
            <w:hideMark/>
          </w:tcPr>
          <w:p w14:paraId="57D07F3D" w14:textId="1D8C0322" w:rsidR="005A7EFD" w:rsidRPr="00C50020" w:rsidRDefault="00075080" w:rsidP="00C50020">
            <w:pPr>
              <w:pStyle w:val="Tabletext"/>
              <w:jc w:val="right"/>
            </w:pPr>
            <w:r>
              <w:t>3500</w:t>
            </w:r>
          </w:p>
        </w:tc>
      </w:tr>
      <w:tr w:rsidR="005A7EFD" w:rsidRPr="00C50020" w14:paraId="28279533" w14:textId="77777777" w:rsidTr="00FE00CD">
        <w:trPr>
          <w:trHeight w:val="300"/>
        </w:trPr>
        <w:tc>
          <w:tcPr>
            <w:tcW w:w="2989" w:type="dxa"/>
            <w:tcBorders>
              <w:top w:val="nil"/>
              <w:left w:val="nil"/>
              <w:bottom w:val="nil"/>
              <w:right w:val="nil"/>
            </w:tcBorders>
            <w:shd w:val="clear" w:color="auto" w:fill="auto"/>
            <w:noWrap/>
            <w:vAlign w:val="bottom"/>
            <w:hideMark/>
          </w:tcPr>
          <w:p w14:paraId="57AD893D" w14:textId="77777777" w:rsidR="005A7EFD" w:rsidRPr="00C50020" w:rsidRDefault="005A7EFD" w:rsidP="00C50020">
            <w:pPr>
              <w:pStyle w:val="Tabletext"/>
            </w:pPr>
            <w:r w:rsidRPr="00C50020">
              <w:t>SA Murray High</w:t>
            </w:r>
          </w:p>
        </w:tc>
        <w:tc>
          <w:tcPr>
            <w:tcW w:w="2552" w:type="dxa"/>
            <w:tcBorders>
              <w:top w:val="nil"/>
              <w:left w:val="nil"/>
              <w:bottom w:val="nil"/>
              <w:right w:val="nil"/>
            </w:tcBorders>
            <w:shd w:val="clear" w:color="auto" w:fill="auto"/>
            <w:noWrap/>
            <w:vAlign w:val="bottom"/>
            <w:hideMark/>
          </w:tcPr>
          <w:p w14:paraId="3776D548" w14:textId="5415F6D4" w:rsidR="005A7EFD" w:rsidRPr="00C50020" w:rsidRDefault="00075080" w:rsidP="00C50020">
            <w:pPr>
              <w:pStyle w:val="Tabletext"/>
              <w:jc w:val="right"/>
            </w:pPr>
            <w:r>
              <w:t>2518</w:t>
            </w:r>
          </w:p>
        </w:tc>
        <w:tc>
          <w:tcPr>
            <w:tcW w:w="3294" w:type="dxa"/>
            <w:tcBorders>
              <w:top w:val="nil"/>
              <w:left w:val="nil"/>
              <w:bottom w:val="nil"/>
              <w:right w:val="nil"/>
            </w:tcBorders>
            <w:shd w:val="clear" w:color="auto" w:fill="auto"/>
            <w:noWrap/>
            <w:vAlign w:val="bottom"/>
            <w:hideMark/>
          </w:tcPr>
          <w:p w14:paraId="64E1091D" w14:textId="09D01ED9" w:rsidR="005A7EFD" w:rsidRPr="00C50020" w:rsidRDefault="00075080" w:rsidP="00C50020">
            <w:pPr>
              <w:pStyle w:val="Tabletext"/>
              <w:jc w:val="right"/>
            </w:pPr>
            <w:r>
              <w:t>3029</w:t>
            </w:r>
          </w:p>
        </w:tc>
      </w:tr>
      <w:tr w:rsidR="005A7EFD" w:rsidRPr="00C50020" w14:paraId="33A338EF" w14:textId="77777777" w:rsidTr="00FE00CD">
        <w:trPr>
          <w:trHeight w:val="300"/>
        </w:trPr>
        <w:tc>
          <w:tcPr>
            <w:tcW w:w="2989" w:type="dxa"/>
            <w:tcBorders>
              <w:top w:val="nil"/>
              <w:left w:val="nil"/>
              <w:bottom w:val="nil"/>
              <w:right w:val="nil"/>
            </w:tcBorders>
            <w:shd w:val="clear" w:color="auto" w:fill="auto"/>
            <w:noWrap/>
            <w:vAlign w:val="bottom"/>
            <w:hideMark/>
          </w:tcPr>
          <w:p w14:paraId="11937C14" w14:textId="77777777" w:rsidR="005A7EFD" w:rsidRPr="00C50020" w:rsidRDefault="005A7EFD" w:rsidP="00C50020">
            <w:pPr>
              <w:pStyle w:val="Tabletext"/>
            </w:pPr>
            <w:r w:rsidRPr="00C50020">
              <w:t>VIC Campaspe High</w:t>
            </w:r>
          </w:p>
        </w:tc>
        <w:tc>
          <w:tcPr>
            <w:tcW w:w="2552" w:type="dxa"/>
            <w:tcBorders>
              <w:top w:val="nil"/>
              <w:left w:val="nil"/>
              <w:bottom w:val="nil"/>
              <w:right w:val="nil"/>
            </w:tcBorders>
            <w:shd w:val="clear" w:color="auto" w:fill="auto"/>
            <w:noWrap/>
            <w:vAlign w:val="bottom"/>
            <w:hideMark/>
          </w:tcPr>
          <w:p w14:paraId="620BC7BB" w14:textId="1D62B700" w:rsidR="005A7EFD" w:rsidRPr="00C50020" w:rsidRDefault="00075080" w:rsidP="00C50020">
            <w:pPr>
              <w:pStyle w:val="Tabletext"/>
              <w:jc w:val="right"/>
            </w:pPr>
            <w:r>
              <w:t>1675</w:t>
            </w:r>
          </w:p>
        </w:tc>
        <w:tc>
          <w:tcPr>
            <w:tcW w:w="3294" w:type="dxa"/>
            <w:tcBorders>
              <w:top w:val="nil"/>
              <w:left w:val="nil"/>
              <w:bottom w:val="nil"/>
              <w:right w:val="nil"/>
            </w:tcBorders>
            <w:shd w:val="clear" w:color="auto" w:fill="auto"/>
            <w:noWrap/>
            <w:vAlign w:val="bottom"/>
            <w:hideMark/>
          </w:tcPr>
          <w:p w14:paraId="78FA412C" w14:textId="291A5A70" w:rsidR="005A7EFD" w:rsidRPr="00C50020" w:rsidRDefault="005A7EFD" w:rsidP="00075080">
            <w:pPr>
              <w:pStyle w:val="Tabletext"/>
              <w:jc w:val="right"/>
            </w:pPr>
            <w:r w:rsidRPr="00C50020">
              <w:t>23</w:t>
            </w:r>
            <w:r w:rsidR="00075080">
              <w:t>46</w:t>
            </w:r>
          </w:p>
        </w:tc>
      </w:tr>
      <w:tr w:rsidR="005A7EFD" w:rsidRPr="00C50020" w14:paraId="7FAF6B89" w14:textId="77777777" w:rsidTr="00FE00CD">
        <w:trPr>
          <w:trHeight w:val="300"/>
        </w:trPr>
        <w:tc>
          <w:tcPr>
            <w:tcW w:w="2989" w:type="dxa"/>
            <w:tcBorders>
              <w:top w:val="nil"/>
              <w:left w:val="nil"/>
              <w:bottom w:val="nil"/>
              <w:right w:val="nil"/>
            </w:tcBorders>
            <w:shd w:val="clear" w:color="auto" w:fill="auto"/>
            <w:noWrap/>
            <w:vAlign w:val="bottom"/>
            <w:hideMark/>
          </w:tcPr>
          <w:p w14:paraId="17CBFDB9" w14:textId="77777777" w:rsidR="005A7EFD" w:rsidRPr="00C50020" w:rsidRDefault="005A7EFD" w:rsidP="00C50020">
            <w:pPr>
              <w:pStyle w:val="Tabletext"/>
            </w:pPr>
            <w:r w:rsidRPr="00C50020">
              <w:t>VIC Goulburn High</w:t>
            </w:r>
          </w:p>
        </w:tc>
        <w:tc>
          <w:tcPr>
            <w:tcW w:w="2552" w:type="dxa"/>
            <w:tcBorders>
              <w:top w:val="nil"/>
              <w:left w:val="nil"/>
              <w:bottom w:val="nil"/>
              <w:right w:val="nil"/>
            </w:tcBorders>
            <w:shd w:val="clear" w:color="auto" w:fill="auto"/>
            <w:noWrap/>
            <w:vAlign w:val="bottom"/>
            <w:hideMark/>
          </w:tcPr>
          <w:p w14:paraId="07D14DF8" w14:textId="39BEBFA4" w:rsidR="005A7EFD" w:rsidRPr="00C50020" w:rsidRDefault="00075080" w:rsidP="00C50020">
            <w:pPr>
              <w:pStyle w:val="Tabletext"/>
              <w:jc w:val="right"/>
            </w:pPr>
            <w:r>
              <w:t>2723</w:t>
            </w:r>
          </w:p>
        </w:tc>
        <w:tc>
          <w:tcPr>
            <w:tcW w:w="3294" w:type="dxa"/>
            <w:tcBorders>
              <w:top w:val="nil"/>
              <w:left w:val="nil"/>
              <w:bottom w:val="nil"/>
              <w:right w:val="nil"/>
            </w:tcBorders>
            <w:shd w:val="clear" w:color="auto" w:fill="auto"/>
            <w:noWrap/>
            <w:vAlign w:val="bottom"/>
            <w:hideMark/>
          </w:tcPr>
          <w:p w14:paraId="03A8D992" w14:textId="46378381" w:rsidR="005A7EFD" w:rsidRPr="00C50020" w:rsidRDefault="00075080" w:rsidP="00C50020">
            <w:pPr>
              <w:pStyle w:val="Tabletext"/>
              <w:jc w:val="right"/>
            </w:pPr>
            <w:r>
              <w:t>2567</w:t>
            </w:r>
          </w:p>
        </w:tc>
      </w:tr>
      <w:tr w:rsidR="005A7EFD" w:rsidRPr="00C50020" w14:paraId="65BAB051" w14:textId="77777777" w:rsidTr="00FE00CD">
        <w:trPr>
          <w:trHeight w:val="300"/>
        </w:trPr>
        <w:tc>
          <w:tcPr>
            <w:tcW w:w="2989" w:type="dxa"/>
            <w:tcBorders>
              <w:top w:val="nil"/>
              <w:left w:val="nil"/>
              <w:bottom w:val="nil"/>
              <w:right w:val="nil"/>
            </w:tcBorders>
            <w:shd w:val="clear" w:color="auto" w:fill="auto"/>
            <w:noWrap/>
            <w:vAlign w:val="bottom"/>
            <w:hideMark/>
          </w:tcPr>
          <w:p w14:paraId="07BD5B23" w14:textId="77777777" w:rsidR="005A7EFD" w:rsidRPr="00C50020" w:rsidRDefault="005A7EFD" w:rsidP="00C50020">
            <w:pPr>
              <w:pStyle w:val="Tabletext"/>
            </w:pPr>
            <w:r w:rsidRPr="00C50020">
              <w:t>VIC Loddon High</w:t>
            </w:r>
          </w:p>
        </w:tc>
        <w:tc>
          <w:tcPr>
            <w:tcW w:w="2552" w:type="dxa"/>
            <w:tcBorders>
              <w:top w:val="nil"/>
              <w:left w:val="nil"/>
              <w:bottom w:val="nil"/>
              <w:right w:val="nil"/>
            </w:tcBorders>
            <w:shd w:val="clear" w:color="auto" w:fill="auto"/>
            <w:noWrap/>
            <w:vAlign w:val="bottom"/>
            <w:hideMark/>
          </w:tcPr>
          <w:p w14:paraId="065E04A4" w14:textId="0795108D" w:rsidR="005A7EFD" w:rsidRPr="00C50020" w:rsidRDefault="00075080" w:rsidP="00C50020">
            <w:pPr>
              <w:pStyle w:val="Tabletext"/>
              <w:jc w:val="right"/>
            </w:pPr>
            <w:r>
              <w:t>1613</w:t>
            </w:r>
          </w:p>
        </w:tc>
        <w:tc>
          <w:tcPr>
            <w:tcW w:w="3294" w:type="dxa"/>
            <w:tcBorders>
              <w:top w:val="nil"/>
              <w:left w:val="nil"/>
              <w:bottom w:val="nil"/>
              <w:right w:val="nil"/>
            </w:tcBorders>
            <w:shd w:val="clear" w:color="auto" w:fill="auto"/>
            <w:noWrap/>
            <w:vAlign w:val="bottom"/>
            <w:hideMark/>
          </w:tcPr>
          <w:p w14:paraId="5FE4C086" w14:textId="09074151" w:rsidR="005A7EFD" w:rsidRPr="00C50020" w:rsidRDefault="00075080" w:rsidP="00C50020">
            <w:pPr>
              <w:pStyle w:val="Tabletext"/>
              <w:jc w:val="right"/>
            </w:pPr>
            <w:r>
              <w:t>1862</w:t>
            </w:r>
          </w:p>
        </w:tc>
      </w:tr>
      <w:tr w:rsidR="005A7EFD" w:rsidRPr="00C50020" w14:paraId="74287D22" w14:textId="77777777" w:rsidTr="00FE00CD">
        <w:trPr>
          <w:trHeight w:val="300"/>
        </w:trPr>
        <w:tc>
          <w:tcPr>
            <w:tcW w:w="2989" w:type="dxa"/>
            <w:tcBorders>
              <w:top w:val="nil"/>
              <w:left w:val="nil"/>
              <w:bottom w:val="nil"/>
              <w:right w:val="nil"/>
            </w:tcBorders>
            <w:shd w:val="clear" w:color="auto" w:fill="auto"/>
            <w:noWrap/>
            <w:vAlign w:val="bottom"/>
            <w:hideMark/>
          </w:tcPr>
          <w:p w14:paraId="460AF2E2" w14:textId="77777777" w:rsidR="005A7EFD" w:rsidRPr="00C50020" w:rsidRDefault="005A7EFD" w:rsidP="00C50020">
            <w:pPr>
              <w:pStyle w:val="Tabletext"/>
            </w:pPr>
            <w:r w:rsidRPr="00C50020">
              <w:t>VIC Murray Above High</w:t>
            </w:r>
          </w:p>
        </w:tc>
        <w:tc>
          <w:tcPr>
            <w:tcW w:w="2552" w:type="dxa"/>
            <w:tcBorders>
              <w:top w:val="nil"/>
              <w:left w:val="nil"/>
              <w:bottom w:val="nil"/>
              <w:right w:val="nil"/>
            </w:tcBorders>
            <w:shd w:val="clear" w:color="auto" w:fill="auto"/>
            <w:noWrap/>
            <w:vAlign w:val="bottom"/>
            <w:hideMark/>
          </w:tcPr>
          <w:p w14:paraId="2D14B1AD" w14:textId="3846A2DF" w:rsidR="005A7EFD" w:rsidRPr="00C50020" w:rsidRDefault="00075080" w:rsidP="00C50020">
            <w:pPr>
              <w:pStyle w:val="Tabletext"/>
              <w:jc w:val="right"/>
            </w:pPr>
            <w:r>
              <w:t>2944</w:t>
            </w:r>
          </w:p>
        </w:tc>
        <w:tc>
          <w:tcPr>
            <w:tcW w:w="3294" w:type="dxa"/>
            <w:tcBorders>
              <w:top w:val="nil"/>
              <w:left w:val="nil"/>
              <w:bottom w:val="nil"/>
              <w:right w:val="nil"/>
            </w:tcBorders>
            <w:shd w:val="clear" w:color="auto" w:fill="auto"/>
            <w:noWrap/>
            <w:vAlign w:val="bottom"/>
            <w:hideMark/>
          </w:tcPr>
          <w:p w14:paraId="0DF11111" w14:textId="4B40E9E3" w:rsidR="005A7EFD" w:rsidRPr="00C50020" w:rsidRDefault="00075080" w:rsidP="00C50020">
            <w:pPr>
              <w:pStyle w:val="Tabletext"/>
              <w:jc w:val="right"/>
            </w:pPr>
            <w:r>
              <w:t>2629</w:t>
            </w:r>
          </w:p>
        </w:tc>
      </w:tr>
      <w:tr w:rsidR="005A7EFD" w:rsidRPr="00C50020" w14:paraId="58321D26" w14:textId="77777777" w:rsidTr="00FE00CD">
        <w:trPr>
          <w:trHeight w:val="300"/>
        </w:trPr>
        <w:tc>
          <w:tcPr>
            <w:tcW w:w="2989" w:type="dxa"/>
            <w:tcBorders>
              <w:top w:val="nil"/>
              <w:left w:val="nil"/>
              <w:bottom w:val="nil"/>
              <w:right w:val="nil"/>
            </w:tcBorders>
            <w:shd w:val="clear" w:color="auto" w:fill="auto"/>
            <w:noWrap/>
            <w:vAlign w:val="bottom"/>
            <w:hideMark/>
          </w:tcPr>
          <w:p w14:paraId="505577E3" w14:textId="77777777" w:rsidR="005A7EFD" w:rsidRPr="00C50020" w:rsidRDefault="005A7EFD" w:rsidP="00C50020">
            <w:pPr>
              <w:pStyle w:val="Tabletext"/>
            </w:pPr>
            <w:r w:rsidRPr="00C50020">
              <w:t>VIC Murray Above Low</w:t>
            </w:r>
          </w:p>
        </w:tc>
        <w:tc>
          <w:tcPr>
            <w:tcW w:w="2552" w:type="dxa"/>
            <w:tcBorders>
              <w:top w:val="nil"/>
              <w:left w:val="nil"/>
              <w:bottom w:val="nil"/>
              <w:right w:val="nil"/>
            </w:tcBorders>
            <w:shd w:val="clear" w:color="auto" w:fill="auto"/>
            <w:noWrap/>
            <w:vAlign w:val="bottom"/>
            <w:hideMark/>
          </w:tcPr>
          <w:p w14:paraId="79E52716" w14:textId="58353236" w:rsidR="005A7EFD" w:rsidRPr="00C50020" w:rsidRDefault="00075080" w:rsidP="00C50020">
            <w:pPr>
              <w:pStyle w:val="Tabletext"/>
              <w:jc w:val="right"/>
            </w:pPr>
            <w:r>
              <w:t>181</w:t>
            </w:r>
          </w:p>
        </w:tc>
        <w:tc>
          <w:tcPr>
            <w:tcW w:w="3294" w:type="dxa"/>
            <w:tcBorders>
              <w:top w:val="nil"/>
              <w:left w:val="nil"/>
              <w:bottom w:val="nil"/>
              <w:right w:val="nil"/>
            </w:tcBorders>
            <w:shd w:val="clear" w:color="auto" w:fill="auto"/>
            <w:noWrap/>
            <w:vAlign w:val="bottom"/>
            <w:hideMark/>
          </w:tcPr>
          <w:p w14:paraId="67197F36" w14:textId="3B62B53C" w:rsidR="005A7EFD" w:rsidRPr="00C50020" w:rsidRDefault="00075080" w:rsidP="00C50020">
            <w:pPr>
              <w:pStyle w:val="Tabletext"/>
              <w:jc w:val="right"/>
            </w:pPr>
            <w:r>
              <w:t>348</w:t>
            </w:r>
          </w:p>
        </w:tc>
      </w:tr>
      <w:tr w:rsidR="005A7EFD" w:rsidRPr="00C50020" w14:paraId="0973AC06" w14:textId="77777777" w:rsidTr="00FE00CD">
        <w:trPr>
          <w:trHeight w:val="300"/>
        </w:trPr>
        <w:tc>
          <w:tcPr>
            <w:tcW w:w="2989" w:type="dxa"/>
            <w:tcBorders>
              <w:top w:val="nil"/>
              <w:left w:val="nil"/>
              <w:bottom w:val="nil"/>
              <w:right w:val="nil"/>
            </w:tcBorders>
            <w:shd w:val="clear" w:color="auto" w:fill="auto"/>
            <w:noWrap/>
            <w:vAlign w:val="bottom"/>
            <w:hideMark/>
          </w:tcPr>
          <w:p w14:paraId="15950F2D" w14:textId="77777777" w:rsidR="005A7EFD" w:rsidRPr="00C50020" w:rsidRDefault="005A7EFD" w:rsidP="00C50020">
            <w:pPr>
              <w:pStyle w:val="Tabletext"/>
            </w:pPr>
            <w:r w:rsidRPr="00C50020">
              <w:t>VIC Murray Below High</w:t>
            </w:r>
          </w:p>
        </w:tc>
        <w:tc>
          <w:tcPr>
            <w:tcW w:w="2552" w:type="dxa"/>
            <w:tcBorders>
              <w:top w:val="nil"/>
              <w:left w:val="nil"/>
              <w:bottom w:val="nil"/>
              <w:right w:val="nil"/>
            </w:tcBorders>
            <w:shd w:val="clear" w:color="auto" w:fill="auto"/>
            <w:noWrap/>
            <w:vAlign w:val="bottom"/>
            <w:hideMark/>
          </w:tcPr>
          <w:p w14:paraId="1273F90F" w14:textId="1A6EC28E" w:rsidR="005A7EFD" w:rsidRPr="00C50020" w:rsidRDefault="00075080" w:rsidP="00C50020">
            <w:pPr>
              <w:pStyle w:val="Tabletext"/>
              <w:jc w:val="right"/>
            </w:pPr>
            <w:r>
              <w:t>3024</w:t>
            </w:r>
          </w:p>
        </w:tc>
        <w:tc>
          <w:tcPr>
            <w:tcW w:w="3294" w:type="dxa"/>
            <w:tcBorders>
              <w:top w:val="nil"/>
              <w:left w:val="nil"/>
              <w:bottom w:val="nil"/>
              <w:right w:val="nil"/>
            </w:tcBorders>
            <w:shd w:val="clear" w:color="auto" w:fill="auto"/>
            <w:noWrap/>
            <w:vAlign w:val="bottom"/>
            <w:hideMark/>
          </w:tcPr>
          <w:p w14:paraId="06266169" w14:textId="1B88715C" w:rsidR="005A7EFD" w:rsidRPr="00C50020" w:rsidRDefault="00075080" w:rsidP="00C50020">
            <w:pPr>
              <w:pStyle w:val="Tabletext"/>
              <w:jc w:val="right"/>
            </w:pPr>
            <w:r>
              <w:t>2781</w:t>
            </w:r>
          </w:p>
        </w:tc>
      </w:tr>
      <w:tr w:rsidR="005A7EFD" w:rsidRPr="00C50020" w14:paraId="78917A8D" w14:textId="77777777" w:rsidTr="00FE00CD">
        <w:trPr>
          <w:trHeight w:val="300"/>
        </w:trPr>
        <w:tc>
          <w:tcPr>
            <w:tcW w:w="2989" w:type="dxa"/>
            <w:tcBorders>
              <w:top w:val="nil"/>
              <w:left w:val="nil"/>
              <w:bottom w:val="nil"/>
              <w:right w:val="nil"/>
            </w:tcBorders>
            <w:shd w:val="clear" w:color="auto" w:fill="auto"/>
            <w:noWrap/>
            <w:vAlign w:val="bottom"/>
            <w:hideMark/>
          </w:tcPr>
          <w:p w14:paraId="359B2278" w14:textId="77777777" w:rsidR="005A7EFD" w:rsidRPr="00C50020" w:rsidRDefault="005A7EFD" w:rsidP="00C50020">
            <w:pPr>
              <w:pStyle w:val="Tabletext"/>
            </w:pPr>
            <w:r w:rsidRPr="00C50020">
              <w:t>VIC Murray Below Low</w:t>
            </w:r>
          </w:p>
        </w:tc>
        <w:tc>
          <w:tcPr>
            <w:tcW w:w="2552" w:type="dxa"/>
            <w:tcBorders>
              <w:top w:val="nil"/>
              <w:left w:val="nil"/>
              <w:bottom w:val="nil"/>
              <w:right w:val="nil"/>
            </w:tcBorders>
            <w:shd w:val="clear" w:color="auto" w:fill="auto"/>
            <w:noWrap/>
            <w:vAlign w:val="bottom"/>
            <w:hideMark/>
          </w:tcPr>
          <w:p w14:paraId="1B862997" w14:textId="453B9F99" w:rsidR="005A7EFD" w:rsidRPr="00C50020" w:rsidRDefault="005A7EFD" w:rsidP="00075080">
            <w:pPr>
              <w:pStyle w:val="Tabletext"/>
              <w:jc w:val="right"/>
            </w:pPr>
            <w:r w:rsidRPr="00C50020">
              <w:t>20</w:t>
            </w:r>
            <w:r w:rsidR="00075080">
              <w:t>1</w:t>
            </w:r>
          </w:p>
        </w:tc>
        <w:tc>
          <w:tcPr>
            <w:tcW w:w="3294" w:type="dxa"/>
            <w:tcBorders>
              <w:top w:val="nil"/>
              <w:left w:val="nil"/>
              <w:bottom w:val="nil"/>
              <w:right w:val="nil"/>
            </w:tcBorders>
            <w:shd w:val="clear" w:color="auto" w:fill="auto"/>
            <w:noWrap/>
            <w:vAlign w:val="bottom"/>
            <w:hideMark/>
          </w:tcPr>
          <w:p w14:paraId="04F65116" w14:textId="1DC70EED" w:rsidR="005A7EFD" w:rsidRPr="00C50020" w:rsidRDefault="00075080" w:rsidP="00C50020">
            <w:pPr>
              <w:pStyle w:val="Tabletext"/>
              <w:jc w:val="right"/>
            </w:pPr>
            <w:r>
              <w:t>307</w:t>
            </w:r>
          </w:p>
        </w:tc>
      </w:tr>
      <w:tr w:rsidR="005A7EFD" w:rsidRPr="00C50020" w14:paraId="575D2F74" w14:textId="77777777" w:rsidTr="00FE00CD">
        <w:trPr>
          <w:trHeight w:val="300"/>
        </w:trPr>
        <w:tc>
          <w:tcPr>
            <w:tcW w:w="2989" w:type="dxa"/>
            <w:tcBorders>
              <w:top w:val="nil"/>
              <w:left w:val="nil"/>
              <w:bottom w:val="nil"/>
              <w:right w:val="nil"/>
            </w:tcBorders>
            <w:shd w:val="clear" w:color="auto" w:fill="auto"/>
            <w:noWrap/>
            <w:vAlign w:val="bottom"/>
            <w:hideMark/>
          </w:tcPr>
          <w:p w14:paraId="001770F5" w14:textId="77777777" w:rsidR="005A7EFD" w:rsidRPr="00C50020" w:rsidRDefault="005A7EFD" w:rsidP="00C50020">
            <w:pPr>
              <w:pStyle w:val="Tabletext"/>
            </w:pPr>
            <w:r w:rsidRPr="00C50020">
              <w:t>NSW Murray Above High</w:t>
            </w:r>
          </w:p>
        </w:tc>
        <w:tc>
          <w:tcPr>
            <w:tcW w:w="2552" w:type="dxa"/>
            <w:tcBorders>
              <w:top w:val="nil"/>
              <w:left w:val="nil"/>
              <w:bottom w:val="nil"/>
              <w:right w:val="nil"/>
            </w:tcBorders>
            <w:shd w:val="clear" w:color="auto" w:fill="auto"/>
            <w:noWrap/>
            <w:vAlign w:val="bottom"/>
            <w:hideMark/>
          </w:tcPr>
          <w:p w14:paraId="1E5512B1" w14:textId="1B890B78" w:rsidR="005A7EFD" w:rsidRPr="00C50020" w:rsidRDefault="005A7EFD" w:rsidP="00075080">
            <w:pPr>
              <w:pStyle w:val="Tabletext"/>
              <w:jc w:val="right"/>
            </w:pPr>
            <w:r w:rsidRPr="00C50020">
              <w:t>3</w:t>
            </w:r>
            <w:r w:rsidR="00075080">
              <w:t>165</w:t>
            </w:r>
          </w:p>
        </w:tc>
        <w:tc>
          <w:tcPr>
            <w:tcW w:w="3294" w:type="dxa"/>
            <w:tcBorders>
              <w:top w:val="nil"/>
              <w:left w:val="nil"/>
              <w:bottom w:val="nil"/>
              <w:right w:val="nil"/>
            </w:tcBorders>
            <w:shd w:val="clear" w:color="auto" w:fill="auto"/>
            <w:noWrap/>
            <w:vAlign w:val="bottom"/>
            <w:hideMark/>
          </w:tcPr>
          <w:p w14:paraId="40BABFCF" w14:textId="77777777" w:rsidR="005A7EFD" w:rsidRPr="00C50020" w:rsidRDefault="005A7EFD" w:rsidP="00C50020">
            <w:pPr>
              <w:pStyle w:val="Tabletext"/>
              <w:jc w:val="right"/>
              <w:rPr>
                <w:highlight w:val="yellow"/>
              </w:rPr>
            </w:pPr>
          </w:p>
        </w:tc>
      </w:tr>
      <w:tr w:rsidR="005A7EFD" w:rsidRPr="00C50020" w14:paraId="43789B5A" w14:textId="77777777" w:rsidTr="00FE00CD">
        <w:trPr>
          <w:trHeight w:val="300"/>
        </w:trPr>
        <w:tc>
          <w:tcPr>
            <w:tcW w:w="2989" w:type="dxa"/>
            <w:tcBorders>
              <w:top w:val="nil"/>
              <w:left w:val="nil"/>
              <w:bottom w:val="nil"/>
              <w:right w:val="nil"/>
            </w:tcBorders>
            <w:shd w:val="clear" w:color="auto" w:fill="auto"/>
            <w:noWrap/>
            <w:vAlign w:val="bottom"/>
            <w:hideMark/>
          </w:tcPr>
          <w:p w14:paraId="2CF26B61" w14:textId="77777777" w:rsidR="005A7EFD" w:rsidRPr="00C50020" w:rsidRDefault="005A7EFD" w:rsidP="00C50020">
            <w:pPr>
              <w:pStyle w:val="Tabletext"/>
            </w:pPr>
            <w:r w:rsidRPr="00C50020">
              <w:t>NSW Murray Above General</w:t>
            </w:r>
          </w:p>
        </w:tc>
        <w:tc>
          <w:tcPr>
            <w:tcW w:w="2552" w:type="dxa"/>
            <w:tcBorders>
              <w:top w:val="nil"/>
              <w:left w:val="nil"/>
              <w:bottom w:val="nil"/>
              <w:right w:val="nil"/>
            </w:tcBorders>
            <w:shd w:val="clear" w:color="auto" w:fill="auto"/>
            <w:noWrap/>
            <w:vAlign w:val="bottom"/>
            <w:hideMark/>
          </w:tcPr>
          <w:p w14:paraId="6B0E33D7" w14:textId="04F02E51" w:rsidR="005A7EFD" w:rsidRPr="00C50020" w:rsidRDefault="00075080" w:rsidP="00C50020">
            <w:pPr>
              <w:pStyle w:val="Tabletext"/>
              <w:jc w:val="right"/>
            </w:pPr>
            <w:r>
              <w:t>86</w:t>
            </w:r>
            <w:r w:rsidR="005A7EFD" w:rsidRPr="00C50020">
              <w:t>7</w:t>
            </w:r>
          </w:p>
        </w:tc>
        <w:tc>
          <w:tcPr>
            <w:tcW w:w="3294" w:type="dxa"/>
            <w:tcBorders>
              <w:top w:val="nil"/>
              <w:left w:val="nil"/>
              <w:bottom w:val="nil"/>
              <w:right w:val="nil"/>
            </w:tcBorders>
            <w:shd w:val="clear" w:color="auto" w:fill="auto"/>
            <w:noWrap/>
            <w:vAlign w:val="bottom"/>
            <w:hideMark/>
          </w:tcPr>
          <w:p w14:paraId="1AE7A383" w14:textId="77777777" w:rsidR="005A7EFD" w:rsidRPr="00C50020" w:rsidRDefault="005A7EFD" w:rsidP="00C50020">
            <w:pPr>
              <w:pStyle w:val="Tabletext"/>
              <w:jc w:val="right"/>
              <w:rPr>
                <w:highlight w:val="yellow"/>
              </w:rPr>
            </w:pPr>
          </w:p>
        </w:tc>
      </w:tr>
      <w:tr w:rsidR="005A7EFD" w:rsidRPr="00C50020" w14:paraId="20E51EDB" w14:textId="77777777" w:rsidTr="00FE00CD">
        <w:trPr>
          <w:trHeight w:val="300"/>
        </w:trPr>
        <w:tc>
          <w:tcPr>
            <w:tcW w:w="2989" w:type="dxa"/>
            <w:tcBorders>
              <w:top w:val="nil"/>
              <w:left w:val="nil"/>
              <w:bottom w:val="nil"/>
              <w:right w:val="nil"/>
            </w:tcBorders>
            <w:shd w:val="clear" w:color="auto" w:fill="auto"/>
            <w:noWrap/>
            <w:vAlign w:val="bottom"/>
            <w:hideMark/>
          </w:tcPr>
          <w:p w14:paraId="04EC9F78" w14:textId="77777777" w:rsidR="005A7EFD" w:rsidRPr="00C50020" w:rsidRDefault="005A7EFD" w:rsidP="00C50020">
            <w:pPr>
              <w:pStyle w:val="Tabletext"/>
            </w:pPr>
            <w:r w:rsidRPr="00C50020">
              <w:t>NSW Murray Below High</w:t>
            </w:r>
          </w:p>
        </w:tc>
        <w:tc>
          <w:tcPr>
            <w:tcW w:w="2552" w:type="dxa"/>
            <w:tcBorders>
              <w:top w:val="nil"/>
              <w:left w:val="nil"/>
              <w:bottom w:val="nil"/>
              <w:right w:val="nil"/>
            </w:tcBorders>
            <w:shd w:val="clear" w:color="auto" w:fill="auto"/>
            <w:noWrap/>
            <w:vAlign w:val="bottom"/>
            <w:hideMark/>
          </w:tcPr>
          <w:p w14:paraId="04AE74EC" w14:textId="28244459" w:rsidR="005A7EFD" w:rsidRPr="00C50020" w:rsidRDefault="00075080" w:rsidP="00C50020">
            <w:pPr>
              <w:pStyle w:val="Tabletext"/>
              <w:jc w:val="right"/>
            </w:pPr>
            <w:r>
              <w:t>3244</w:t>
            </w:r>
          </w:p>
        </w:tc>
        <w:tc>
          <w:tcPr>
            <w:tcW w:w="3294" w:type="dxa"/>
            <w:tcBorders>
              <w:top w:val="nil"/>
              <w:left w:val="nil"/>
              <w:bottom w:val="nil"/>
              <w:right w:val="nil"/>
            </w:tcBorders>
            <w:shd w:val="clear" w:color="auto" w:fill="auto"/>
            <w:noWrap/>
            <w:vAlign w:val="bottom"/>
            <w:hideMark/>
          </w:tcPr>
          <w:p w14:paraId="33C8294C" w14:textId="77777777" w:rsidR="005A7EFD" w:rsidRPr="00C50020" w:rsidRDefault="005A7EFD" w:rsidP="00C50020">
            <w:pPr>
              <w:pStyle w:val="Tabletext"/>
              <w:jc w:val="right"/>
              <w:rPr>
                <w:highlight w:val="yellow"/>
              </w:rPr>
            </w:pPr>
          </w:p>
        </w:tc>
      </w:tr>
      <w:tr w:rsidR="005A7EFD" w:rsidRPr="00C50020" w14:paraId="3DF951E0" w14:textId="77777777" w:rsidTr="00FE00CD">
        <w:trPr>
          <w:trHeight w:val="300"/>
        </w:trPr>
        <w:tc>
          <w:tcPr>
            <w:tcW w:w="2989" w:type="dxa"/>
            <w:tcBorders>
              <w:top w:val="nil"/>
              <w:left w:val="nil"/>
              <w:bottom w:val="single" w:sz="4" w:space="0" w:color="auto"/>
              <w:right w:val="nil"/>
            </w:tcBorders>
            <w:shd w:val="clear" w:color="auto" w:fill="auto"/>
            <w:noWrap/>
            <w:vAlign w:val="bottom"/>
            <w:hideMark/>
          </w:tcPr>
          <w:p w14:paraId="10DD6DA9" w14:textId="77777777" w:rsidR="005A7EFD" w:rsidRPr="00C50020" w:rsidRDefault="005A7EFD" w:rsidP="00C50020">
            <w:pPr>
              <w:pStyle w:val="Tabletext"/>
            </w:pPr>
            <w:r w:rsidRPr="00C50020">
              <w:t>NSW Murray Below Low</w:t>
            </w:r>
          </w:p>
        </w:tc>
        <w:tc>
          <w:tcPr>
            <w:tcW w:w="2552" w:type="dxa"/>
            <w:tcBorders>
              <w:top w:val="nil"/>
              <w:left w:val="nil"/>
              <w:bottom w:val="single" w:sz="4" w:space="0" w:color="auto"/>
              <w:right w:val="nil"/>
            </w:tcBorders>
            <w:shd w:val="clear" w:color="auto" w:fill="auto"/>
            <w:noWrap/>
            <w:vAlign w:val="bottom"/>
            <w:hideMark/>
          </w:tcPr>
          <w:p w14:paraId="19C4A56B" w14:textId="5D3BFF77" w:rsidR="005A7EFD" w:rsidRPr="00C50020" w:rsidRDefault="00075080" w:rsidP="00C50020">
            <w:pPr>
              <w:pStyle w:val="Tabletext"/>
              <w:jc w:val="right"/>
            </w:pPr>
            <w:r>
              <w:t>893</w:t>
            </w:r>
          </w:p>
        </w:tc>
        <w:tc>
          <w:tcPr>
            <w:tcW w:w="3294" w:type="dxa"/>
            <w:tcBorders>
              <w:top w:val="nil"/>
              <w:left w:val="nil"/>
              <w:bottom w:val="single" w:sz="4" w:space="0" w:color="auto"/>
              <w:right w:val="nil"/>
            </w:tcBorders>
            <w:shd w:val="clear" w:color="auto" w:fill="auto"/>
            <w:noWrap/>
            <w:vAlign w:val="bottom"/>
            <w:hideMark/>
          </w:tcPr>
          <w:p w14:paraId="280AB61D" w14:textId="77777777" w:rsidR="005A7EFD" w:rsidRPr="00C50020" w:rsidRDefault="005A7EFD" w:rsidP="00C50020">
            <w:pPr>
              <w:pStyle w:val="Tabletext"/>
              <w:jc w:val="right"/>
              <w:rPr>
                <w:highlight w:val="yellow"/>
              </w:rPr>
            </w:pPr>
          </w:p>
        </w:tc>
      </w:tr>
    </w:tbl>
    <w:p w14:paraId="20C6C1F6" w14:textId="77777777" w:rsidR="00853A13" w:rsidRDefault="00853A13" w:rsidP="00777422">
      <w:pPr>
        <w:pStyle w:val="Notesourcetext"/>
      </w:pPr>
      <w:r>
        <w:t xml:space="preserve">Note: Historical prices sourced from </w:t>
      </w:r>
      <w:r w:rsidR="00FE00CD">
        <w:t>Marsden Jacobs and Associates (MJA)</w:t>
      </w:r>
      <w:r>
        <w:t xml:space="preserve"> data provided to the Department of Agriculture</w:t>
      </w:r>
      <w:r w:rsidR="00FE00CD">
        <w:t xml:space="preserve"> and Water Resources</w:t>
      </w:r>
      <w:r>
        <w:t>. Estimates for NSW Murray entitlement prices are calculated as an average of NSW Murray Above and NSW Murray Below prices.</w:t>
      </w:r>
    </w:p>
    <w:p w14:paraId="040BCE11" w14:textId="77777777" w:rsidR="00853A13" w:rsidRDefault="00853A13" w:rsidP="00853A13">
      <w:pPr>
        <w:pStyle w:val="Caption"/>
      </w:pPr>
      <w:bookmarkStart w:id="104" w:name="_Ref486529675"/>
      <w:bookmarkStart w:id="105" w:name="_Toc505345917"/>
      <w:r>
        <w:t xml:space="preserve">Figure </w:t>
      </w:r>
      <w:fldSimple w:instr=" SEQ Figure \* ARABIC ">
        <w:r w:rsidR="00F709AB">
          <w:rPr>
            <w:noProof/>
          </w:rPr>
          <w:t>10</w:t>
        </w:r>
      </w:fldSimple>
      <w:bookmarkEnd w:id="104"/>
      <w:r>
        <w:t xml:space="preserve"> Modelled entitlement prices compared to actual prices</w:t>
      </w:r>
      <w:bookmarkEnd w:id="105"/>
      <w:r>
        <w:t xml:space="preserve"> </w:t>
      </w:r>
    </w:p>
    <w:p w14:paraId="53ED1188" w14:textId="2AA0F8EE" w:rsidR="00853A13" w:rsidRDefault="00206BDD" w:rsidP="008E1AD6">
      <w:r>
        <w:rPr>
          <w:noProof/>
          <w:lang w:eastAsia="en-AU"/>
        </w:rPr>
        <w:drawing>
          <wp:inline distT="0" distB="0" distL="0" distR="0" wp14:anchorId="3D04AD2A" wp14:editId="674E7F3A">
            <wp:extent cx="3784355" cy="3078000"/>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784355"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48C66074" w14:textId="77777777" w:rsidR="00485A9E" w:rsidRDefault="00FE00CD" w:rsidP="00485A9E">
      <w:pPr>
        <w:pStyle w:val="Heading2"/>
      </w:pPr>
      <w:bookmarkStart w:id="106" w:name="_Toc505345872"/>
      <w:r>
        <w:lastRenderedPageBreak/>
        <w:t>Performance of</w:t>
      </w:r>
      <w:r w:rsidR="00485A9E">
        <w:t xml:space="preserve"> the baseline scenario</w:t>
      </w:r>
      <w:bookmarkEnd w:id="106"/>
    </w:p>
    <w:p w14:paraId="7D6F1801" w14:textId="77777777" w:rsidR="008A1062" w:rsidRDefault="008A1062" w:rsidP="000F7DE2">
      <w:pPr>
        <w:pStyle w:val="BodyText"/>
      </w:pPr>
      <w:r>
        <w:t xml:space="preserve">The correlation between model estimates and actual data for key outputs, measured by the R-squared, is shown in </w:t>
      </w:r>
      <w:r>
        <w:fldChar w:fldCharType="begin"/>
      </w:r>
      <w:r>
        <w:instrText xml:space="preserve"> REF _Ref492743564 \h </w:instrText>
      </w:r>
      <w:r>
        <w:fldChar w:fldCharType="separate"/>
      </w:r>
      <w:r w:rsidR="00F709AB">
        <w:t>Table </w:t>
      </w:r>
      <w:r w:rsidR="00F709AB">
        <w:rPr>
          <w:noProof/>
        </w:rPr>
        <w:t>18</w:t>
      </w:r>
      <w:r>
        <w:fldChar w:fldCharType="end"/>
      </w:r>
      <w:r>
        <w:t>. Results are presented across regions and irrigation activities for the water allocation price, and irrigated area and water use.</w:t>
      </w:r>
    </w:p>
    <w:p w14:paraId="29F8E4B6" w14:textId="53E37A79" w:rsidR="000F7DE2" w:rsidRDefault="008A1062" w:rsidP="00B2512F">
      <w:pPr>
        <w:pStyle w:val="BodyText"/>
      </w:pPr>
      <w:r>
        <w:t xml:space="preserve">The in-sample results presented in </w:t>
      </w:r>
      <w:r>
        <w:fldChar w:fldCharType="begin"/>
      </w:r>
      <w:r>
        <w:instrText xml:space="preserve"> REF _Ref492743564 \h </w:instrText>
      </w:r>
      <w:r>
        <w:fldChar w:fldCharType="separate"/>
      </w:r>
      <w:r w:rsidR="00F709AB">
        <w:t>Table </w:t>
      </w:r>
      <w:r w:rsidR="00F709AB">
        <w:rPr>
          <w:noProof/>
        </w:rPr>
        <w:t>18</w:t>
      </w:r>
      <w:r>
        <w:fldChar w:fldCharType="end"/>
      </w:r>
      <w:r>
        <w:t xml:space="preserve"> correspond to the sample used for econometric estimat</w:t>
      </w:r>
      <w:r w:rsidR="00DE05F1">
        <w:t>ion: 2005–06 to 2015–16 or 11</w:t>
      </w:r>
      <w:r w:rsidR="00B2512F">
        <w:t xml:space="preserve"> years</w:t>
      </w:r>
      <w:r>
        <w:t xml:space="preserve">. The out of sample results correspond to the periods 2002–03 to </w:t>
      </w:r>
      <w:r w:rsidR="00DE05F1">
        <w:t>2004–05 and 2016–17</w:t>
      </w:r>
      <w:r w:rsidR="000F7DE2">
        <w:t xml:space="preserve"> </w:t>
      </w:r>
      <w:r w:rsidR="00B2512F">
        <w:t>(4 years) and the full sample refers to the complete model</w:t>
      </w:r>
      <w:r w:rsidR="00DE05F1">
        <w:t>ling period from 2002–03 to 2016–17 (15</w:t>
      </w:r>
      <w:r w:rsidR="00B2512F">
        <w:t xml:space="preserve"> years). </w:t>
      </w:r>
      <w:r w:rsidR="000F7DE2">
        <w:t xml:space="preserve">In general the </w:t>
      </w:r>
      <w:r w:rsidR="00B2512F">
        <w:t>R-squared values</w:t>
      </w:r>
      <w:r w:rsidR="000F7DE2">
        <w:t xml:space="preserve"> in </w:t>
      </w:r>
      <w:r w:rsidR="00286803">
        <w:fldChar w:fldCharType="begin"/>
      </w:r>
      <w:r w:rsidR="00286803">
        <w:instrText xml:space="preserve"> REF _Ref492743564 \h </w:instrText>
      </w:r>
      <w:r w:rsidR="00286803">
        <w:fldChar w:fldCharType="separate"/>
      </w:r>
      <w:r w:rsidR="00F709AB">
        <w:t>Table </w:t>
      </w:r>
      <w:r w:rsidR="00F709AB">
        <w:rPr>
          <w:noProof/>
        </w:rPr>
        <w:t>18</w:t>
      </w:r>
      <w:r w:rsidR="00286803">
        <w:fldChar w:fldCharType="end"/>
      </w:r>
      <w:r w:rsidR="000F7DE2">
        <w:t xml:space="preserve"> suggest </w:t>
      </w:r>
      <w:r w:rsidR="00B2512F">
        <w:t>that a high degree of variance in actual data can be explained by the ABARES water trade model for a range of outputs.</w:t>
      </w:r>
    </w:p>
    <w:p w14:paraId="4C6AE7D1" w14:textId="77777777" w:rsidR="000F7DE2" w:rsidRDefault="00881941" w:rsidP="006C374A">
      <w:pPr>
        <w:pStyle w:val="Caption"/>
      </w:pPr>
      <w:bookmarkStart w:id="107" w:name="_Ref492743564"/>
      <w:bookmarkStart w:id="108" w:name="_Toc505345901"/>
      <w:r>
        <w:t>Table </w:t>
      </w:r>
      <w:fldSimple w:instr=" SEQ Table \* ARABIC ">
        <w:r w:rsidR="00F709AB">
          <w:rPr>
            <w:noProof/>
          </w:rPr>
          <w:t>18</w:t>
        </w:r>
      </w:fldSimple>
      <w:bookmarkEnd w:id="107"/>
      <w:r w:rsidR="000F7DE2">
        <w:t xml:space="preserve"> </w:t>
      </w:r>
      <w:r w:rsidR="006C374A">
        <w:t>Correlation between model estimates and actual data for key modelling outputs</w:t>
      </w:r>
      <w:bookmarkEnd w:id="108"/>
    </w:p>
    <w:tbl>
      <w:tblPr>
        <w:tblW w:w="0" w:type="auto"/>
        <w:tblLayout w:type="fixed"/>
        <w:tblLook w:val="04A0" w:firstRow="1" w:lastRow="0" w:firstColumn="1" w:lastColumn="0" w:noHBand="0" w:noVBand="1"/>
      </w:tblPr>
      <w:tblGrid>
        <w:gridCol w:w="4395"/>
        <w:gridCol w:w="1559"/>
        <w:gridCol w:w="1559"/>
        <w:gridCol w:w="1418"/>
      </w:tblGrid>
      <w:tr w:rsidR="006C374A" w:rsidRPr="006C374A" w14:paraId="5B7FA689" w14:textId="77777777" w:rsidTr="006C374A">
        <w:trPr>
          <w:trHeight w:val="300"/>
        </w:trPr>
        <w:tc>
          <w:tcPr>
            <w:tcW w:w="4395" w:type="dxa"/>
            <w:tcBorders>
              <w:top w:val="single" w:sz="4" w:space="0" w:color="auto"/>
              <w:left w:val="nil"/>
              <w:bottom w:val="nil"/>
              <w:right w:val="nil"/>
            </w:tcBorders>
            <w:shd w:val="clear" w:color="auto" w:fill="auto"/>
            <w:noWrap/>
            <w:vAlign w:val="bottom"/>
            <w:hideMark/>
          </w:tcPr>
          <w:p w14:paraId="3C4C24A1" w14:textId="77777777" w:rsidR="006C374A" w:rsidRPr="006C374A" w:rsidRDefault="006C374A" w:rsidP="006C374A">
            <w:pPr>
              <w:pStyle w:val="Tabletext"/>
              <w:rPr>
                <w:b/>
                <w:lang w:eastAsia="en-AU"/>
              </w:rPr>
            </w:pPr>
            <w:r w:rsidRPr="006C374A">
              <w:rPr>
                <w:b/>
                <w:lang w:eastAsia="en-AU"/>
              </w:rPr>
              <w:t>Variable</w:t>
            </w:r>
          </w:p>
        </w:tc>
        <w:tc>
          <w:tcPr>
            <w:tcW w:w="4536" w:type="dxa"/>
            <w:gridSpan w:val="3"/>
            <w:tcBorders>
              <w:top w:val="single" w:sz="4" w:space="0" w:color="auto"/>
              <w:left w:val="nil"/>
              <w:bottom w:val="nil"/>
              <w:right w:val="nil"/>
            </w:tcBorders>
            <w:shd w:val="clear" w:color="auto" w:fill="auto"/>
            <w:noWrap/>
            <w:vAlign w:val="bottom"/>
            <w:hideMark/>
          </w:tcPr>
          <w:p w14:paraId="5025F6F3" w14:textId="77777777" w:rsidR="006C374A" w:rsidRPr="006C374A" w:rsidRDefault="006C374A" w:rsidP="006C374A">
            <w:pPr>
              <w:pStyle w:val="Tabletext"/>
              <w:jc w:val="center"/>
              <w:rPr>
                <w:b/>
                <w:lang w:eastAsia="en-AU"/>
              </w:rPr>
            </w:pPr>
            <w:r w:rsidRPr="006C374A">
              <w:rPr>
                <w:b/>
                <w:lang w:eastAsia="en-AU"/>
              </w:rPr>
              <w:t>R-squared</w:t>
            </w:r>
          </w:p>
        </w:tc>
      </w:tr>
      <w:tr w:rsidR="006C374A" w:rsidRPr="006C374A" w14:paraId="4B887E42" w14:textId="77777777" w:rsidTr="006C374A">
        <w:trPr>
          <w:trHeight w:val="300"/>
        </w:trPr>
        <w:tc>
          <w:tcPr>
            <w:tcW w:w="4395" w:type="dxa"/>
            <w:tcBorders>
              <w:top w:val="nil"/>
              <w:left w:val="nil"/>
              <w:bottom w:val="single" w:sz="4" w:space="0" w:color="auto"/>
              <w:right w:val="nil"/>
            </w:tcBorders>
            <w:shd w:val="clear" w:color="auto" w:fill="auto"/>
            <w:noWrap/>
            <w:vAlign w:val="bottom"/>
            <w:hideMark/>
          </w:tcPr>
          <w:p w14:paraId="4B24C2F1" w14:textId="77777777" w:rsidR="006C374A" w:rsidRPr="006C374A" w:rsidRDefault="006C374A" w:rsidP="006C374A">
            <w:pPr>
              <w:pStyle w:val="Tabletext"/>
              <w:rPr>
                <w:lang w:eastAsia="en-AU"/>
              </w:rPr>
            </w:pPr>
          </w:p>
        </w:tc>
        <w:tc>
          <w:tcPr>
            <w:tcW w:w="1559" w:type="dxa"/>
            <w:tcBorders>
              <w:top w:val="nil"/>
              <w:left w:val="nil"/>
              <w:bottom w:val="single" w:sz="4" w:space="0" w:color="auto"/>
              <w:right w:val="nil"/>
            </w:tcBorders>
            <w:shd w:val="clear" w:color="auto" w:fill="auto"/>
            <w:noWrap/>
            <w:vAlign w:val="bottom"/>
            <w:hideMark/>
          </w:tcPr>
          <w:p w14:paraId="5C5763FA" w14:textId="77777777" w:rsidR="006C374A" w:rsidRPr="006C374A" w:rsidRDefault="006C374A" w:rsidP="006C374A">
            <w:pPr>
              <w:pStyle w:val="Tabletext"/>
              <w:jc w:val="right"/>
              <w:rPr>
                <w:b/>
                <w:lang w:eastAsia="en-AU"/>
              </w:rPr>
            </w:pPr>
            <w:r w:rsidRPr="006C374A">
              <w:rPr>
                <w:b/>
                <w:lang w:eastAsia="en-AU"/>
              </w:rPr>
              <w:t>In-sample</w:t>
            </w:r>
          </w:p>
        </w:tc>
        <w:tc>
          <w:tcPr>
            <w:tcW w:w="1559" w:type="dxa"/>
            <w:tcBorders>
              <w:top w:val="nil"/>
              <w:left w:val="nil"/>
              <w:bottom w:val="single" w:sz="4" w:space="0" w:color="auto"/>
              <w:right w:val="nil"/>
            </w:tcBorders>
            <w:shd w:val="clear" w:color="auto" w:fill="auto"/>
            <w:noWrap/>
            <w:vAlign w:val="bottom"/>
            <w:hideMark/>
          </w:tcPr>
          <w:p w14:paraId="1FA35227" w14:textId="77777777" w:rsidR="006C374A" w:rsidRPr="006C374A" w:rsidRDefault="006C374A" w:rsidP="006C374A">
            <w:pPr>
              <w:pStyle w:val="Tabletext"/>
              <w:jc w:val="right"/>
              <w:rPr>
                <w:b/>
                <w:lang w:eastAsia="en-AU"/>
              </w:rPr>
            </w:pPr>
            <w:r w:rsidRPr="006C374A">
              <w:rPr>
                <w:b/>
                <w:lang w:eastAsia="en-AU"/>
              </w:rPr>
              <w:t>Out-of-sample</w:t>
            </w:r>
          </w:p>
        </w:tc>
        <w:tc>
          <w:tcPr>
            <w:tcW w:w="1418" w:type="dxa"/>
            <w:tcBorders>
              <w:top w:val="nil"/>
              <w:left w:val="nil"/>
              <w:bottom w:val="single" w:sz="4" w:space="0" w:color="auto"/>
              <w:right w:val="nil"/>
            </w:tcBorders>
            <w:shd w:val="clear" w:color="auto" w:fill="auto"/>
            <w:noWrap/>
            <w:vAlign w:val="bottom"/>
            <w:hideMark/>
          </w:tcPr>
          <w:p w14:paraId="57935DF6" w14:textId="77777777" w:rsidR="006C374A" w:rsidRPr="006C374A" w:rsidRDefault="006C374A" w:rsidP="006C374A">
            <w:pPr>
              <w:pStyle w:val="Tabletext"/>
              <w:jc w:val="right"/>
              <w:rPr>
                <w:b/>
                <w:lang w:eastAsia="en-AU"/>
              </w:rPr>
            </w:pPr>
            <w:r w:rsidRPr="006C374A">
              <w:rPr>
                <w:b/>
                <w:lang w:eastAsia="en-AU"/>
              </w:rPr>
              <w:t>Full sample</w:t>
            </w:r>
          </w:p>
        </w:tc>
      </w:tr>
      <w:tr w:rsidR="00206BDD" w:rsidRPr="006C374A" w14:paraId="4784C681" w14:textId="77777777" w:rsidTr="00881941">
        <w:trPr>
          <w:trHeight w:val="300"/>
        </w:trPr>
        <w:tc>
          <w:tcPr>
            <w:tcW w:w="4395" w:type="dxa"/>
            <w:tcBorders>
              <w:top w:val="single" w:sz="4" w:space="0" w:color="auto"/>
              <w:left w:val="nil"/>
              <w:bottom w:val="nil"/>
              <w:right w:val="nil"/>
            </w:tcBorders>
            <w:shd w:val="clear" w:color="auto" w:fill="auto"/>
            <w:noWrap/>
            <w:vAlign w:val="bottom"/>
            <w:hideMark/>
          </w:tcPr>
          <w:p w14:paraId="4E60864A" w14:textId="77777777" w:rsidR="00206BDD" w:rsidRPr="006C374A" w:rsidRDefault="00206BDD" w:rsidP="00206BDD">
            <w:pPr>
              <w:pStyle w:val="Tabletext"/>
              <w:rPr>
                <w:lang w:eastAsia="en-AU"/>
              </w:rPr>
            </w:pPr>
            <w:r w:rsidRPr="006C374A">
              <w:rPr>
                <w:lang w:eastAsia="en-AU"/>
              </w:rPr>
              <w:t>Water allocation price</w:t>
            </w:r>
            <w:r>
              <w:rPr>
                <w:lang w:eastAsia="en-AU"/>
              </w:rPr>
              <w:t xml:space="preserve"> (by region and year)</w:t>
            </w:r>
          </w:p>
        </w:tc>
        <w:tc>
          <w:tcPr>
            <w:tcW w:w="1559" w:type="dxa"/>
            <w:tcBorders>
              <w:top w:val="single" w:sz="4" w:space="0" w:color="auto"/>
              <w:left w:val="nil"/>
              <w:bottom w:val="nil"/>
              <w:right w:val="nil"/>
            </w:tcBorders>
            <w:shd w:val="clear" w:color="auto" w:fill="auto"/>
            <w:noWrap/>
            <w:vAlign w:val="center"/>
            <w:hideMark/>
          </w:tcPr>
          <w:p w14:paraId="680C9654" w14:textId="77AB2B6E" w:rsidR="00206BDD" w:rsidRDefault="00206BDD" w:rsidP="00206BDD">
            <w:pPr>
              <w:pStyle w:val="Tabletext"/>
              <w:jc w:val="right"/>
              <w:rPr>
                <w:sz w:val="24"/>
                <w:szCs w:val="24"/>
                <w:lang w:eastAsia="en-AU"/>
              </w:rPr>
            </w:pPr>
            <w:r>
              <w:rPr>
                <w:color w:val="000000"/>
              </w:rPr>
              <w:t>0.98</w:t>
            </w:r>
          </w:p>
        </w:tc>
        <w:tc>
          <w:tcPr>
            <w:tcW w:w="1559" w:type="dxa"/>
            <w:tcBorders>
              <w:top w:val="single" w:sz="4" w:space="0" w:color="auto"/>
              <w:left w:val="nil"/>
              <w:bottom w:val="nil"/>
              <w:right w:val="nil"/>
            </w:tcBorders>
            <w:shd w:val="clear" w:color="auto" w:fill="auto"/>
            <w:noWrap/>
            <w:vAlign w:val="center"/>
            <w:hideMark/>
          </w:tcPr>
          <w:p w14:paraId="45EFFF5D" w14:textId="3AD1348F" w:rsidR="00206BDD" w:rsidRDefault="00206BDD" w:rsidP="00206BDD">
            <w:pPr>
              <w:pStyle w:val="Tabletext"/>
              <w:jc w:val="right"/>
            </w:pPr>
            <w:r>
              <w:rPr>
                <w:color w:val="000000"/>
              </w:rPr>
              <w:t>0.97</w:t>
            </w:r>
          </w:p>
        </w:tc>
        <w:tc>
          <w:tcPr>
            <w:tcW w:w="1418" w:type="dxa"/>
            <w:tcBorders>
              <w:top w:val="single" w:sz="4" w:space="0" w:color="auto"/>
              <w:left w:val="nil"/>
              <w:bottom w:val="nil"/>
              <w:right w:val="nil"/>
            </w:tcBorders>
            <w:shd w:val="clear" w:color="auto" w:fill="auto"/>
            <w:noWrap/>
            <w:vAlign w:val="center"/>
            <w:hideMark/>
          </w:tcPr>
          <w:p w14:paraId="23246D60" w14:textId="7AAC379A" w:rsidR="00206BDD" w:rsidRDefault="00206BDD" w:rsidP="00206BDD">
            <w:pPr>
              <w:pStyle w:val="Tabletext"/>
              <w:jc w:val="right"/>
            </w:pPr>
            <w:r>
              <w:rPr>
                <w:color w:val="000000"/>
              </w:rPr>
              <w:t>0.98</w:t>
            </w:r>
          </w:p>
        </w:tc>
      </w:tr>
      <w:tr w:rsidR="00206BDD" w:rsidRPr="006C374A" w14:paraId="7093256A" w14:textId="77777777" w:rsidTr="00881941">
        <w:trPr>
          <w:trHeight w:val="300"/>
        </w:trPr>
        <w:tc>
          <w:tcPr>
            <w:tcW w:w="4395" w:type="dxa"/>
            <w:tcBorders>
              <w:top w:val="nil"/>
              <w:left w:val="nil"/>
              <w:bottom w:val="nil"/>
              <w:right w:val="nil"/>
            </w:tcBorders>
            <w:shd w:val="clear" w:color="auto" w:fill="auto"/>
            <w:noWrap/>
            <w:vAlign w:val="bottom"/>
            <w:hideMark/>
          </w:tcPr>
          <w:p w14:paraId="4BC01968" w14:textId="77777777" w:rsidR="00206BDD" w:rsidRPr="006C374A" w:rsidRDefault="00206BDD" w:rsidP="00206BDD">
            <w:pPr>
              <w:pStyle w:val="Tabletext"/>
              <w:rPr>
                <w:lang w:eastAsia="en-AU"/>
              </w:rPr>
            </w:pPr>
            <w:r>
              <w:rPr>
                <w:lang w:eastAsia="en-AU"/>
              </w:rPr>
              <w:t xml:space="preserve">Land use (by region, </w:t>
            </w:r>
            <w:r w:rsidRPr="006C374A">
              <w:rPr>
                <w:lang w:eastAsia="en-AU"/>
              </w:rPr>
              <w:t>irrigation activity</w:t>
            </w:r>
            <w:r>
              <w:rPr>
                <w:lang w:eastAsia="en-AU"/>
              </w:rPr>
              <w:t xml:space="preserve"> and year</w:t>
            </w:r>
            <w:r w:rsidRPr="006C374A">
              <w:rPr>
                <w:lang w:eastAsia="en-AU"/>
              </w:rPr>
              <w:t>)</w:t>
            </w:r>
          </w:p>
        </w:tc>
        <w:tc>
          <w:tcPr>
            <w:tcW w:w="1559" w:type="dxa"/>
            <w:tcBorders>
              <w:top w:val="nil"/>
              <w:left w:val="nil"/>
              <w:bottom w:val="nil"/>
              <w:right w:val="nil"/>
            </w:tcBorders>
            <w:shd w:val="clear" w:color="auto" w:fill="auto"/>
            <w:noWrap/>
            <w:vAlign w:val="center"/>
            <w:hideMark/>
          </w:tcPr>
          <w:p w14:paraId="239B7CC1" w14:textId="52902430" w:rsidR="00206BDD" w:rsidRDefault="00206BDD" w:rsidP="00206BDD">
            <w:pPr>
              <w:pStyle w:val="Tabletext"/>
              <w:jc w:val="right"/>
            </w:pPr>
            <w:r>
              <w:rPr>
                <w:color w:val="000000"/>
              </w:rPr>
              <w:t>0.96</w:t>
            </w:r>
          </w:p>
        </w:tc>
        <w:tc>
          <w:tcPr>
            <w:tcW w:w="1559" w:type="dxa"/>
            <w:tcBorders>
              <w:top w:val="nil"/>
              <w:left w:val="nil"/>
              <w:bottom w:val="nil"/>
              <w:right w:val="nil"/>
            </w:tcBorders>
            <w:shd w:val="clear" w:color="auto" w:fill="auto"/>
            <w:noWrap/>
            <w:vAlign w:val="center"/>
            <w:hideMark/>
          </w:tcPr>
          <w:p w14:paraId="1F0DC704" w14:textId="77777777" w:rsidR="00206BDD" w:rsidRDefault="00206BDD" w:rsidP="00206BDD">
            <w:pPr>
              <w:pStyle w:val="Tabletext"/>
              <w:jc w:val="right"/>
            </w:pPr>
          </w:p>
        </w:tc>
        <w:tc>
          <w:tcPr>
            <w:tcW w:w="1418" w:type="dxa"/>
            <w:tcBorders>
              <w:top w:val="nil"/>
              <w:left w:val="nil"/>
              <w:bottom w:val="nil"/>
              <w:right w:val="nil"/>
            </w:tcBorders>
            <w:shd w:val="clear" w:color="auto" w:fill="auto"/>
            <w:noWrap/>
            <w:vAlign w:val="center"/>
            <w:hideMark/>
          </w:tcPr>
          <w:p w14:paraId="6E98A231" w14:textId="77777777" w:rsidR="00206BDD" w:rsidRDefault="00206BDD" w:rsidP="00206BDD">
            <w:pPr>
              <w:pStyle w:val="Tabletext"/>
              <w:jc w:val="right"/>
              <w:rPr>
                <w:sz w:val="20"/>
                <w:szCs w:val="20"/>
              </w:rPr>
            </w:pPr>
          </w:p>
        </w:tc>
      </w:tr>
      <w:tr w:rsidR="00206BDD" w:rsidRPr="006C374A" w14:paraId="72D93B38" w14:textId="77777777" w:rsidTr="00881941">
        <w:trPr>
          <w:trHeight w:val="300"/>
        </w:trPr>
        <w:tc>
          <w:tcPr>
            <w:tcW w:w="4395" w:type="dxa"/>
            <w:tcBorders>
              <w:top w:val="nil"/>
              <w:left w:val="nil"/>
              <w:bottom w:val="nil"/>
              <w:right w:val="nil"/>
            </w:tcBorders>
            <w:shd w:val="clear" w:color="auto" w:fill="auto"/>
            <w:noWrap/>
            <w:vAlign w:val="bottom"/>
            <w:hideMark/>
          </w:tcPr>
          <w:p w14:paraId="580F37D6" w14:textId="77777777" w:rsidR="00206BDD" w:rsidRPr="006C374A" w:rsidRDefault="00206BDD" w:rsidP="00206BDD">
            <w:pPr>
              <w:pStyle w:val="Tabletext"/>
              <w:rPr>
                <w:lang w:eastAsia="en-AU"/>
              </w:rPr>
            </w:pPr>
            <w:r w:rsidRPr="006C374A">
              <w:rPr>
                <w:lang w:eastAsia="en-AU"/>
              </w:rPr>
              <w:t>Land use (by region</w:t>
            </w:r>
            <w:r>
              <w:rPr>
                <w:lang w:eastAsia="en-AU"/>
              </w:rPr>
              <w:t xml:space="preserve"> and year</w:t>
            </w:r>
            <w:r w:rsidRPr="006C374A">
              <w:rPr>
                <w:lang w:eastAsia="en-AU"/>
              </w:rPr>
              <w:t>)</w:t>
            </w:r>
          </w:p>
        </w:tc>
        <w:tc>
          <w:tcPr>
            <w:tcW w:w="1559" w:type="dxa"/>
            <w:tcBorders>
              <w:top w:val="nil"/>
              <w:left w:val="nil"/>
              <w:bottom w:val="nil"/>
              <w:right w:val="nil"/>
            </w:tcBorders>
            <w:shd w:val="clear" w:color="auto" w:fill="auto"/>
            <w:noWrap/>
            <w:vAlign w:val="center"/>
            <w:hideMark/>
          </w:tcPr>
          <w:p w14:paraId="5ADDEEF9" w14:textId="04461E08" w:rsidR="00206BDD" w:rsidRDefault="00206BDD" w:rsidP="00206BDD">
            <w:pPr>
              <w:pStyle w:val="Tabletext"/>
              <w:jc w:val="right"/>
              <w:rPr>
                <w:sz w:val="24"/>
                <w:szCs w:val="24"/>
              </w:rPr>
            </w:pPr>
            <w:r>
              <w:rPr>
                <w:color w:val="000000"/>
              </w:rPr>
              <w:t>0.96</w:t>
            </w:r>
          </w:p>
        </w:tc>
        <w:tc>
          <w:tcPr>
            <w:tcW w:w="1559" w:type="dxa"/>
            <w:tcBorders>
              <w:top w:val="nil"/>
              <w:left w:val="nil"/>
              <w:bottom w:val="nil"/>
              <w:right w:val="nil"/>
            </w:tcBorders>
            <w:shd w:val="clear" w:color="auto" w:fill="auto"/>
            <w:noWrap/>
            <w:vAlign w:val="center"/>
            <w:hideMark/>
          </w:tcPr>
          <w:p w14:paraId="0F25A552" w14:textId="7E40B723" w:rsidR="00206BDD" w:rsidRDefault="00206BDD" w:rsidP="00206BDD">
            <w:pPr>
              <w:pStyle w:val="Tabletext"/>
              <w:jc w:val="right"/>
            </w:pPr>
            <w:r>
              <w:rPr>
                <w:color w:val="000000"/>
              </w:rPr>
              <w:t>0.96</w:t>
            </w:r>
          </w:p>
        </w:tc>
        <w:tc>
          <w:tcPr>
            <w:tcW w:w="1418" w:type="dxa"/>
            <w:tcBorders>
              <w:top w:val="nil"/>
              <w:left w:val="nil"/>
              <w:bottom w:val="nil"/>
              <w:right w:val="nil"/>
            </w:tcBorders>
            <w:shd w:val="clear" w:color="auto" w:fill="auto"/>
            <w:noWrap/>
            <w:vAlign w:val="center"/>
            <w:hideMark/>
          </w:tcPr>
          <w:p w14:paraId="3243EC9E" w14:textId="13E7210A" w:rsidR="00206BDD" w:rsidRDefault="00206BDD" w:rsidP="00206BDD">
            <w:pPr>
              <w:pStyle w:val="Tabletext"/>
              <w:jc w:val="right"/>
            </w:pPr>
            <w:r>
              <w:rPr>
                <w:color w:val="000000"/>
              </w:rPr>
              <w:t>0.96</w:t>
            </w:r>
          </w:p>
        </w:tc>
      </w:tr>
      <w:tr w:rsidR="00206BDD" w:rsidRPr="006C374A" w14:paraId="2EE459B1" w14:textId="77777777" w:rsidTr="00881941">
        <w:trPr>
          <w:trHeight w:val="300"/>
        </w:trPr>
        <w:tc>
          <w:tcPr>
            <w:tcW w:w="4395" w:type="dxa"/>
            <w:tcBorders>
              <w:top w:val="nil"/>
              <w:left w:val="nil"/>
              <w:bottom w:val="nil"/>
              <w:right w:val="nil"/>
            </w:tcBorders>
            <w:shd w:val="clear" w:color="auto" w:fill="auto"/>
            <w:noWrap/>
            <w:vAlign w:val="bottom"/>
            <w:hideMark/>
          </w:tcPr>
          <w:p w14:paraId="12C1BAAC" w14:textId="77777777" w:rsidR="00206BDD" w:rsidRPr="006C374A" w:rsidRDefault="00206BDD" w:rsidP="00206BDD">
            <w:pPr>
              <w:pStyle w:val="Tabletext"/>
              <w:rPr>
                <w:lang w:eastAsia="en-AU"/>
              </w:rPr>
            </w:pPr>
            <w:r>
              <w:rPr>
                <w:lang w:eastAsia="en-AU"/>
              </w:rPr>
              <w:t xml:space="preserve">Water use (by region, </w:t>
            </w:r>
            <w:r w:rsidRPr="006C374A">
              <w:rPr>
                <w:lang w:eastAsia="en-AU"/>
              </w:rPr>
              <w:t>irrigation activity</w:t>
            </w:r>
            <w:r>
              <w:rPr>
                <w:lang w:eastAsia="en-AU"/>
              </w:rPr>
              <w:t xml:space="preserve"> and year</w:t>
            </w:r>
            <w:r w:rsidRPr="006C374A">
              <w:rPr>
                <w:lang w:eastAsia="en-AU"/>
              </w:rPr>
              <w:t>)</w:t>
            </w:r>
          </w:p>
        </w:tc>
        <w:tc>
          <w:tcPr>
            <w:tcW w:w="1559" w:type="dxa"/>
            <w:tcBorders>
              <w:top w:val="nil"/>
              <w:left w:val="nil"/>
              <w:bottom w:val="nil"/>
              <w:right w:val="nil"/>
            </w:tcBorders>
            <w:shd w:val="clear" w:color="auto" w:fill="auto"/>
            <w:noWrap/>
            <w:vAlign w:val="center"/>
            <w:hideMark/>
          </w:tcPr>
          <w:p w14:paraId="2D231E8B" w14:textId="6EA14855" w:rsidR="00206BDD" w:rsidRDefault="00206BDD" w:rsidP="00206BDD">
            <w:pPr>
              <w:pStyle w:val="Tabletext"/>
              <w:jc w:val="right"/>
            </w:pPr>
            <w:r>
              <w:rPr>
                <w:color w:val="000000"/>
              </w:rPr>
              <w:t>0.92</w:t>
            </w:r>
          </w:p>
        </w:tc>
        <w:tc>
          <w:tcPr>
            <w:tcW w:w="1559" w:type="dxa"/>
            <w:tcBorders>
              <w:top w:val="nil"/>
              <w:left w:val="nil"/>
              <w:bottom w:val="nil"/>
              <w:right w:val="nil"/>
            </w:tcBorders>
            <w:shd w:val="clear" w:color="auto" w:fill="auto"/>
            <w:noWrap/>
            <w:vAlign w:val="center"/>
            <w:hideMark/>
          </w:tcPr>
          <w:p w14:paraId="37578DF8" w14:textId="77777777" w:rsidR="00206BDD" w:rsidRDefault="00206BDD" w:rsidP="00206BDD">
            <w:pPr>
              <w:pStyle w:val="Tabletext"/>
              <w:jc w:val="right"/>
            </w:pPr>
          </w:p>
        </w:tc>
        <w:tc>
          <w:tcPr>
            <w:tcW w:w="1418" w:type="dxa"/>
            <w:tcBorders>
              <w:top w:val="nil"/>
              <w:left w:val="nil"/>
              <w:bottom w:val="nil"/>
              <w:right w:val="nil"/>
            </w:tcBorders>
            <w:shd w:val="clear" w:color="auto" w:fill="auto"/>
            <w:noWrap/>
            <w:vAlign w:val="center"/>
            <w:hideMark/>
          </w:tcPr>
          <w:p w14:paraId="34EE23E8" w14:textId="77777777" w:rsidR="00206BDD" w:rsidRDefault="00206BDD" w:rsidP="00206BDD">
            <w:pPr>
              <w:pStyle w:val="Tabletext"/>
              <w:jc w:val="right"/>
              <w:rPr>
                <w:sz w:val="20"/>
                <w:szCs w:val="20"/>
              </w:rPr>
            </w:pPr>
          </w:p>
        </w:tc>
      </w:tr>
      <w:tr w:rsidR="00206BDD" w:rsidRPr="006C374A" w14:paraId="6FB177FF" w14:textId="77777777" w:rsidTr="00881941">
        <w:trPr>
          <w:trHeight w:val="300"/>
        </w:trPr>
        <w:tc>
          <w:tcPr>
            <w:tcW w:w="4395" w:type="dxa"/>
            <w:tcBorders>
              <w:top w:val="nil"/>
              <w:left w:val="nil"/>
              <w:bottom w:val="single" w:sz="4" w:space="0" w:color="auto"/>
              <w:right w:val="nil"/>
            </w:tcBorders>
            <w:shd w:val="clear" w:color="auto" w:fill="auto"/>
            <w:noWrap/>
            <w:vAlign w:val="bottom"/>
            <w:hideMark/>
          </w:tcPr>
          <w:p w14:paraId="0951B00C" w14:textId="77777777" w:rsidR="00206BDD" w:rsidRPr="006C374A" w:rsidRDefault="00206BDD" w:rsidP="00206BDD">
            <w:pPr>
              <w:pStyle w:val="Tabletext"/>
              <w:rPr>
                <w:lang w:eastAsia="en-AU"/>
              </w:rPr>
            </w:pPr>
            <w:r w:rsidRPr="006C374A">
              <w:rPr>
                <w:lang w:eastAsia="en-AU"/>
              </w:rPr>
              <w:t>Water use (by region</w:t>
            </w:r>
            <w:r>
              <w:rPr>
                <w:lang w:eastAsia="en-AU"/>
              </w:rPr>
              <w:t xml:space="preserve"> and year</w:t>
            </w:r>
            <w:r w:rsidRPr="006C374A">
              <w:rPr>
                <w:lang w:eastAsia="en-AU"/>
              </w:rPr>
              <w:t>)</w:t>
            </w:r>
          </w:p>
        </w:tc>
        <w:tc>
          <w:tcPr>
            <w:tcW w:w="1559" w:type="dxa"/>
            <w:tcBorders>
              <w:top w:val="nil"/>
              <w:left w:val="nil"/>
              <w:bottom w:val="single" w:sz="4" w:space="0" w:color="auto"/>
              <w:right w:val="nil"/>
            </w:tcBorders>
            <w:shd w:val="clear" w:color="auto" w:fill="auto"/>
            <w:noWrap/>
            <w:vAlign w:val="center"/>
            <w:hideMark/>
          </w:tcPr>
          <w:p w14:paraId="1DDB808C" w14:textId="68F6EE57" w:rsidR="00206BDD" w:rsidRDefault="00206BDD" w:rsidP="00206BDD">
            <w:pPr>
              <w:pStyle w:val="Tabletext"/>
              <w:jc w:val="right"/>
              <w:rPr>
                <w:sz w:val="24"/>
                <w:szCs w:val="24"/>
              </w:rPr>
            </w:pPr>
            <w:r>
              <w:rPr>
                <w:color w:val="000000"/>
              </w:rPr>
              <w:t>0.93</w:t>
            </w:r>
          </w:p>
        </w:tc>
        <w:tc>
          <w:tcPr>
            <w:tcW w:w="1559" w:type="dxa"/>
            <w:tcBorders>
              <w:top w:val="nil"/>
              <w:left w:val="nil"/>
              <w:bottom w:val="single" w:sz="4" w:space="0" w:color="auto"/>
              <w:right w:val="nil"/>
            </w:tcBorders>
            <w:shd w:val="clear" w:color="auto" w:fill="auto"/>
            <w:noWrap/>
            <w:vAlign w:val="center"/>
            <w:hideMark/>
          </w:tcPr>
          <w:p w14:paraId="08DF3994" w14:textId="198E2562" w:rsidR="00206BDD" w:rsidRDefault="00206BDD" w:rsidP="00206BDD">
            <w:pPr>
              <w:pStyle w:val="Tabletext"/>
              <w:jc w:val="right"/>
            </w:pPr>
            <w:r>
              <w:rPr>
                <w:color w:val="000000"/>
              </w:rPr>
              <w:t>0.89</w:t>
            </w:r>
          </w:p>
        </w:tc>
        <w:tc>
          <w:tcPr>
            <w:tcW w:w="1418" w:type="dxa"/>
            <w:tcBorders>
              <w:top w:val="nil"/>
              <w:left w:val="nil"/>
              <w:bottom w:val="single" w:sz="4" w:space="0" w:color="auto"/>
              <w:right w:val="nil"/>
            </w:tcBorders>
            <w:shd w:val="clear" w:color="auto" w:fill="auto"/>
            <w:noWrap/>
            <w:vAlign w:val="center"/>
            <w:hideMark/>
          </w:tcPr>
          <w:p w14:paraId="76B09783" w14:textId="24C89099" w:rsidR="00206BDD" w:rsidRDefault="00206BDD" w:rsidP="00206BDD">
            <w:pPr>
              <w:pStyle w:val="Tabletext"/>
              <w:jc w:val="right"/>
            </w:pPr>
            <w:r>
              <w:rPr>
                <w:color w:val="000000"/>
              </w:rPr>
              <w:t>0.94</w:t>
            </w:r>
          </w:p>
        </w:tc>
      </w:tr>
    </w:tbl>
    <w:p w14:paraId="065551C6" w14:textId="77777777" w:rsidR="006C374A" w:rsidRDefault="006C374A" w:rsidP="00777422">
      <w:pPr>
        <w:pStyle w:val="Notesourcetext"/>
      </w:pPr>
    </w:p>
    <w:p w14:paraId="122ECE35" w14:textId="50C437F4" w:rsidR="000A07DB" w:rsidRDefault="000A6858" w:rsidP="00EB473B">
      <w:pPr>
        <w:pStyle w:val="Heading1"/>
      </w:pPr>
      <w:bookmarkStart w:id="109" w:name="_Toc505345873"/>
      <w:r>
        <w:lastRenderedPageBreak/>
        <w:t>Conclusions</w:t>
      </w:r>
      <w:bookmarkEnd w:id="109"/>
    </w:p>
    <w:p w14:paraId="1CA38CDF" w14:textId="51BEC4CF" w:rsidR="006A5CB3" w:rsidRDefault="00DC66EC" w:rsidP="008F3D63">
      <w:r>
        <w:t>This paper presents an economic</w:t>
      </w:r>
      <w:r w:rsidRPr="00587A38">
        <w:t xml:space="preserve"> model of water trade and irrigation activity within the southern Murray-Darling Basin (sMDB)</w:t>
      </w:r>
      <w:r>
        <w:t xml:space="preserve">.  </w:t>
      </w:r>
      <w:r w:rsidR="00DA2BE1">
        <w:t xml:space="preserve">This model combines two previously competing approaches to estimating water demand: econometric analysis of water market data and bio-physical optimisation models. </w:t>
      </w:r>
      <w:r w:rsidRPr="00587A38">
        <w:t xml:space="preserve">The model is able </w:t>
      </w:r>
      <w:r w:rsidRPr="0026472E">
        <w:t xml:space="preserve">to simulate the </w:t>
      </w:r>
      <w:r w:rsidR="007E2D75">
        <w:t xml:space="preserve">water </w:t>
      </w:r>
      <w:r w:rsidRPr="0026472E">
        <w:t xml:space="preserve">market prices and </w:t>
      </w:r>
      <w:r w:rsidR="007E2D75">
        <w:t xml:space="preserve">water trade flows across regions taking into account constraints on inter-regional allocation trade. The model parameters are estimated econometrically given historical data on water market outcomes and irrigation water demand. </w:t>
      </w:r>
    </w:p>
    <w:p w14:paraId="12E11FEE" w14:textId="1E912BC4" w:rsidR="00DC66EC" w:rsidRDefault="00DC66EC" w:rsidP="008F3D63">
      <w:r>
        <w:t xml:space="preserve">The data-driven approach adopted </w:t>
      </w:r>
      <w:r w:rsidR="00807913">
        <w:t>for this</w:t>
      </w:r>
      <w:r>
        <w:t xml:space="preserve"> model </w:t>
      </w:r>
      <w:r w:rsidR="00DA2BE1">
        <w:t xml:space="preserve">has </w:t>
      </w:r>
      <w:r>
        <w:t xml:space="preserve">a number of </w:t>
      </w:r>
      <w:r w:rsidR="00FF32FD">
        <w:t>advantages</w:t>
      </w:r>
      <w:r>
        <w:t>:</w:t>
      </w:r>
    </w:p>
    <w:p w14:paraId="14738243" w14:textId="40A7ECB1" w:rsidR="00A215D7" w:rsidRDefault="00A215D7" w:rsidP="00C67DD0">
      <w:pPr>
        <w:pStyle w:val="Bulletlist-level1"/>
        <w:numPr>
          <w:ilvl w:val="0"/>
          <w:numId w:val="17"/>
        </w:numPr>
      </w:pPr>
      <w:r>
        <w:t>The model provides a wide range of outputs including both water market outcomes (prices of allocations and entitlements) and irrigation secto</w:t>
      </w:r>
      <w:r w:rsidR="0000760D">
        <w:t>r outcomes (water and land use)</w:t>
      </w:r>
      <w:r>
        <w:t xml:space="preserve"> </w:t>
      </w:r>
    </w:p>
    <w:p w14:paraId="1F17D42E" w14:textId="4248CDA1" w:rsidR="00DC66EC" w:rsidRDefault="00DC66EC" w:rsidP="00DC66EC">
      <w:pPr>
        <w:pStyle w:val="Bulletlist-level1"/>
        <w:numPr>
          <w:ilvl w:val="0"/>
          <w:numId w:val="17"/>
        </w:numPr>
      </w:pPr>
      <w:r>
        <w:t xml:space="preserve">Validation tests demonstrate the model can accurately </w:t>
      </w:r>
      <w:r w:rsidR="00DA2BE1">
        <w:t xml:space="preserve">simulate </w:t>
      </w:r>
      <w:r>
        <w:t>historical data both within and out-of-sample.</w:t>
      </w:r>
    </w:p>
    <w:p w14:paraId="2E58FFD6" w14:textId="7E0561A4" w:rsidR="001001F8" w:rsidRDefault="00DC66EC" w:rsidP="00807913">
      <w:pPr>
        <w:pStyle w:val="Bulletlist-level1"/>
        <w:numPr>
          <w:ilvl w:val="0"/>
          <w:numId w:val="17"/>
        </w:numPr>
      </w:pPr>
      <w:r>
        <w:t xml:space="preserve">Water demand responses broadly conform to </w:t>
      </w:r>
      <w:r w:rsidR="00DA2BE1">
        <w:t xml:space="preserve"> expert </w:t>
      </w:r>
      <w:r>
        <w:t>expectations and literature; for example, more elastic responses in broadacre activities and more inelastic responses in horticulture.</w:t>
      </w:r>
    </w:p>
    <w:p w14:paraId="0EF5B6B2" w14:textId="2F7FCDB6" w:rsidR="00DA2BE1" w:rsidRDefault="007E2D75" w:rsidP="008F3D63">
      <w:r>
        <w:t xml:space="preserve">The approach adopted in this study also has some </w:t>
      </w:r>
      <w:r w:rsidR="00DA2BE1">
        <w:t>limitations</w:t>
      </w:r>
      <w:r>
        <w:t>. Firstly, t</w:t>
      </w:r>
      <w:r w:rsidR="0038283E">
        <w:t>he dat</w:t>
      </w:r>
      <w:r w:rsidR="00961C6B">
        <w:t>a</w:t>
      </w:r>
      <w:r w:rsidR="0038283E">
        <w:t xml:space="preserve"> used </w:t>
      </w:r>
      <w:r>
        <w:t xml:space="preserve">in this study </w:t>
      </w:r>
      <w:r w:rsidR="00961C6B">
        <w:t>are</w:t>
      </w:r>
      <w:r w:rsidR="0038283E">
        <w:t xml:space="preserve"> subject to measurement error, given changes within statistical collections across time and differences between data sources</w:t>
      </w:r>
      <w:r>
        <w:t>.</w:t>
      </w:r>
      <w:r w:rsidR="00A215D7">
        <w:t xml:space="preserve"> </w:t>
      </w:r>
      <w:r>
        <w:t xml:space="preserve"> Secondly</w:t>
      </w:r>
      <w:r w:rsidR="00961C6B">
        <w:t xml:space="preserve">, given water demand is estimated in reduced form (rather than from </w:t>
      </w:r>
      <w:r w:rsidR="006A5CB3">
        <w:t>a model of farm production</w:t>
      </w:r>
      <w:r w:rsidR="00961C6B">
        <w:t xml:space="preserve">) the model is not </w:t>
      </w:r>
      <w:r w:rsidR="00DA2BE1">
        <w:t xml:space="preserve">well </w:t>
      </w:r>
      <w:r w:rsidR="00961C6B">
        <w:t xml:space="preserve">suited to extrapolating to price levels or climate conditions </w:t>
      </w:r>
      <w:r w:rsidR="00DA2BE1">
        <w:t xml:space="preserve">significantly </w:t>
      </w:r>
      <w:r w:rsidR="00961C6B">
        <w:t xml:space="preserve">outside </w:t>
      </w:r>
      <w:r w:rsidR="006A5CB3">
        <w:t xml:space="preserve">of </w:t>
      </w:r>
      <w:r w:rsidR="00961C6B">
        <w:t>historically observed ranges.</w:t>
      </w:r>
      <w:r w:rsidR="00772F9F">
        <w:t xml:space="preserve"> </w:t>
      </w:r>
    </w:p>
    <w:p w14:paraId="7A01AF45" w14:textId="5FC70D77" w:rsidR="001001F8" w:rsidRDefault="00772F9F" w:rsidP="008F3D63">
      <w:r>
        <w:t xml:space="preserve">Third, the model is short-run in nature </w:t>
      </w:r>
      <w:r w:rsidR="00666E46">
        <w:t>simulating</w:t>
      </w:r>
      <w:r>
        <w:t xml:space="preserve"> annual changes in water demand holding capital investment in the irrigation sector exogenous. As such, the model is not suitable for predicting longer-term structural changes in the industry (such as future changes in the mix of annual and perennial crops)</w:t>
      </w:r>
      <w:r w:rsidR="005E6674">
        <w:t>, a</w:t>
      </w:r>
      <w:r w:rsidR="00DA2BE1">
        <w:t>lthough th</w:t>
      </w:r>
      <w:r w:rsidR="00666E46">
        <w:t xml:space="preserve">e model can be used to explore and assess user defined scenarios around these issues </w:t>
      </w:r>
      <w:r w:rsidR="00DA2BE1">
        <w:t>(as discussed below).</w:t>
      </w:r>
    </w:p>
    <w:p w14:paraId="70C44D9A" w14:textId="214883D4" w:rsidR="006A5CB3" w:rsidRDefault="006A5CB3" w:rsidP="00807913">
      <w:pPr>
        <w:pStyle w:val="Heading2"/>
      </w:pPr>
      <w:bookmarkStart w:id="110" w:name="_Toc505345874"/>
      <w:r>
        <w:t>Future model development</w:t>
      </w:r>
      <w:bookmarkEnd w:id="110"/>
    </w:p>
    <w:p w14:paraId="6DFC28B5" w14:textId="68F48AF9" w:rsidR="006A5CB3" w:rsidRDefault="0000276B" w:rsidP="008F3D63">
      <w:bookmarkStart w:id="111" w:name="_Toc486527121"/>
      <w:r>
        <w:t xml:space="preserve">One direction for future work </w:t>
      </w:r>
      <w:r w:rsidR="00DA2BE1">
        <w:t xml:space="preserve">would be to </w:t>
      </w:r>
      <w:r>
        <w:t>improv</w:t>
      </w:r>
      <w:r w:rsidR="00DA2BE1">
        <w:t>e</w:t>
      </w:r>
      <w:r>
        <w:t xml:space="preserve"> the dataset, particularly the irrig</w:t>
      </w:r>
      <w:r w:rsidR="00BB5FED">
        <w:t xml:space="preserve">ation water and land use data. </w:t>
      </w:r>
      <w:r>
        <w:t xml:space="preserve">ABARES has </w:t>
      </w:r>
      <w:r w:rsidR="00BB5FED">
        <w:t xml:space="preserve">recently </w:t>
      </w:r>
      <w:r>
        <w:t xml:space="preserve">established an agreement with </w:t>
      </w:r>
      <w:r w:rsidR="00BB5FED">
        <w:t xml:space="preserve">the </w:t>
      </w:r>
      <w:r>
        <w:t>ABS</w:t>
      </w:r>
      <w:r w:rsidR="00BB5FED">
        <w:t xml:space="preserve"> </w:t>
      </w:r>
      <w:r w:rsidR="00347A58">
        <w:t xml:space="preserve">(in accordance with ABS legislative provisions) </w:t>
      </w:r>
      <w:r w:rsidR="00BB5FED">
        <w:t>that</w:t>
      </w:r>
      <w:r>
        <w:t xml:space="preserve"> </w:t>
      </w:r>
      <w:r w:rsidR="00321C26">
        <w:t>provid</w:t>
      </w:r>
      <w:r w:rsidR="00BB5FED">
        <w:t>es</w:t>
      </w:r>
      <w:r w:rsidR="00CF5D91">
        <w:t xml:space="preserve"> </w:t>
      </w:r>
      <w:r>
        <w:t>access</w:t>
      </w:r>
      <w:r w:rsidR="00CF5D91">
        <w:t xml:space="preserve"> to unit-record (farm level) data from ABS agricultural census and surveys. This data </w:t>
      </w:r>
      <w:r w:rsidR="006A5CB3">
        <w:t xml:space="preserve">access </w:t>
      </w:r>
      <w:r w:rsidR="00CF5D91">
        <w:t>provides a number of exciting possibilities</w:t>
      </w:r>
      <w:r w:rsidR="006A5CB3">
        <w:t>:</w:t>
      </w:r>
      <w:r w:rsidR="00CF5D91">
        <w:t xml:space="preserve"> </w:t>
      </w:r>
      <w:r w:rsidR="006A5CB3">
        <w:t xml:space="preserve">including </w:t>
      </w:r>
      <w:r w:rsidR="00CB62FC">
        <w:t xml:space="preserve">generation of more </w:t>
      </w:r>
      <w:r w:rsidR="006A5CB3">
        <w:t xml:space="preserve">accurate catchment level </w:t>
      </w:r>
      <w:r w:rsidR="00CB62FC">
        <w:t>statistics</w:t>
      </w:r>
      <w:r w:rsidR="006A5CB3">
        <w:t>, addition of new industry categories (such as nuts)</w:t>
      </w:r>
      <w:r w:rsidR="008F3D63">
        <w:t>,</w:t>
      </w:r>
      <w:r w:rsidR="006A5CB3">
        <w:t xml:space="preserve"> and even farm level water demand modelling.</w:t>
      </w:r>
    </w:p>
    <w:p w14:paraId="725C7F25" w14:textId="77777777" w:rsidR="00666E46" w:rsidRDefault="006A5CB3" w:rsidP="00AE77A4">
      <w:r>
        <w:t xml:space="preserve">A second direction for future work </w:t>
      </w:r>
      <w:r w:rsidR="00DA2BE1">
        <w:t>would be to</w:t>
      </w:r>
      <w:r>
        <w:t xml:space="preserve"> improve the estimation methods, in particular to adopt a</w:t>
      </w:r>
      <w:r w:rsidR="00CF5D91">
        <w:t xml:space="preserve"> structural estimation</w:t>
      </w:r>
      <w:r>
        <w:t xml:space="preserve"> approach</w:t>
      </w:r>
      <w:r w:rsidR="00CF5D91">
        <w:t xml:space="preserve">, where all model equations </w:t>
      </w:r>
      <w:r w:rsidR="004333E0">
        <w:t>are</w:t>
      </w:r>
      <w:r w:rsidR="00CF5D91">
        <w:t xml:space="preserve"> s</w:t>
      </w:r>
      <w:r w:rsidR="004333E0">
        <w:t>imultaneously fit to the dat</w:t>
      </w:r>
      <w:r>
        <w:t xml:space="preserve">a (as opposed to the equation by equation OLS approach </w:t>
      </w:r>
      <w:r w:rsidR="00807913">
        <w:t>currently employed</w:t>
      </w:r>
      <w:r>
        <w:t>)</w:t>
      </w:r>
      <w:r w:rsidR="00807913">
        <w:t xml:space="preserve">. </w:t>
      </w:r>
    </w:p>
    <w:p w14:paraId="7BD5DCBE" w14:textId="25E4F17B" w:rsidR="004333E0" w:rsidRDefault="00666E46" w:rsidP="00AE77A4">
      <w:r>
        <w:t>Third</w:t>
      </w:r>
      <w:r w:rsidR="006A5CB3">
        <w:t>, t</w:t>
      </w:r>
      <w:r w:rsidR="004333E0">
        <w:t>here are a number of features that could be added to the model</w:t>
      </w:r>
      <w:r w:rsidR="006A5CB3">
        <w:t xml:space="preserve"> </w:t>
      </w:r>
      <w:r w:rsidR="00CB62FC">
        <w:t>some of</w:t>
      </w:r>
      <w:r w:rsidR="006A5CB3">
        <w:t xml:space="preserve"> which are currently under development:</w:t>
      </w:r>
    </w:p>
    <w:p w14:paraId="56824E85" w14:textId="77777777" w:rsidR="00BB5FED" w:rsidRDefault="004333E0" w:rsidP="00C67DD0">
      <w:pPr>
        <w:pStyle w:val="Bulletlist-level1"/>
        <w:numPr>
          <w:ilvl w:val="0"/>
          <w:numId w:val="17"/>
        </w:numPr>
      </w:pPr>
      <w:r>
        <w:t>O</w:t>
      </w:r>
      <w:r w:rsidR="00BB5FED">
        <w:t xml:space="preserve">utput supply responses: </w:t>
      </w:r>
      <w:r>
        <w:t xml:space="preserve">predicting irrigation output supply </w:t>
      </w:r>
      <w:r w:rsidR="00BB5FED">
        <w:t>or production</w:t>
      </w:r>
      <w:r>
        <w:t xml:space="preserve"> (e.g., GVIAP) </w:t>
      </w:r>
      <w:r w:rsidR="004917E7">
        <w:t>as a function of</w:t>
      </w:r>
      <w:r>
        <w:t xml:space="preserve"> water prices, rainfall and output prices</w:t>
      </w:r>
      <w:r w:rsidR="00BB5FED">
        <w:t>.</w:t>
      </w:r>
    </w:p>
    <w:p w14:paraId="600B3AED" w14:textId="77777777" w:rsidR="00BB5FED" w:rsidRDefault="004333E0" w:rsidP="00C67DD0">
      <w:pPr>
        <w:pStyle w:val="Bulletlist-level1"/>
        <w:numPr>
          <w:ilvl w:val="0"/>
          <w:numId w:val="17"/>
        </w:numPr>
      </w:pPr>
      <w:r>
        <w:lastRenderedPageBreak/>
        <w:t xml:space="preserve">Carryover: predicting user carryover behaviour </w:t>
      </w:r>
      <w:r w:rsidR="004917E7">
        <w:t xml:space="preserve">as a function of </w:t>
      </w:r>
      <w:r>
        <w:t>water prices, rainfall and output prices</w:t>
      </w:r>
      <w:r w:rsidR="00BB5FED">
        <w:t>.</w:t>
      </w:r>
    </w:p>
    <w:p w14:paraId="29E0848B" w14:textId="77777777" w:rsidR="00BB5FED" w:rsidRDefault="004333E0" w:rsidP="00C67DD0">
      <w:pPr>
        <w:pStyle w:val="Bulletlist-level1"/>
        <w:numPr>
          <w:ilvl w:val="0"/>
          <w:numId w:val="17"/>
        </w:numPr>
      </w:pPr>
      <w:r>
        <w:t>Extending the model to other regions (such as the northern MDB) and industries (such as nuts) depending on data availability</w:t>
      </w:r>
      <w:r w:rsidR="00BB5FED">
        <w:t>.</w:t>
      </w:r>
    </w:p>
    <w:p w14:paraId="2549984C" w14:textId="77777777" w:rsidR="00BB5FED" w:rsidRDefault="00A12E14" w:rsidP="00C67DD0">
      <w:pPr>
        <w:pStyle w:val="Bulletlist-level1"/>
        <w:numPr>
          <w:ilvl w:val="0"/>
          <w:numId w:val="17"/>
        </w:numPr>
      </w:pPr>
      <w:r>
        <w:t>Diversions: including estimates of water diversions by catchment, as a function of farm regional water use, prices and rainfall</w:t>
      </w:r>
      <w:r w:rsidR="00BB5FED">
        <w:t>.</w:t>
      </w:r>
    </w:p>
    <w:p w14:paraId="0CCD130D" w14:textId="77777777" w:rsidR="00BB5FED" w:rsidRDefault="00BB5FED" w:rsidP="00BB5FED">
      <w:pPr>
        <w:pStyle w:val="Bulletlist-level1"/>
        <w:numPr>
          <w:ilvl w:val="0"/>
          <w:numId w:val="0"/>
        </w:numPr>
        <w:ind w:left="567" w:hanging="567"/>
      </w:pPr>
    </w:p>
    <w:p w14:paraId="3CAB6129" w14:textId="52057361" w:rsidR="00165E06" w:rsidRDefault="006A5CB3" w:rsidP="00165E06">
      <w:pPr>
        <w:pStyle w:val="Heading2"/>
      </w:pPr>
      <w:bookmarkStart w:id="112" w:name="_Toc505345875"/>
      <w:bookmarkEnd w:id="111"/>
      <w:r>
        <w:t xml:space="preserve">Potential </w:t>
      </w:r>
      <w:r w:rsidR="00EB473B">
        <w:t>applications</w:t>
      </w:r>
      <w:bookmarkEnd w:id="112"/>
    </w:p>
    <w:p w14:paraId="15BB2DF3" w14:textId="642DAE01" w:rsidR="004917E7" w:rsidRDefault="004917E7" w:rsidP="004917E7">
      <w:r>
        <w:t>The model has a number of potential applications including</w:t>
      </w:r>
      <w:r w:rsidR="00DA2BE1">
        <w:t>:</w:t>
      </w:r>
    </w:p>
    <w:p w14:paraId="48DE84C4" w14:textId="6D22728D" w:rsidR="00BB5FED" w:rsidRDefault="004C62A7" w:rsidP="00C67DD0">
      <w:pPr>
        <w:pStyle w:val="Bulletlist-level1"/>
        <w:numPr>
          <w:ilvl w:val="0"/>
          <w:numId w:val="17"/>
        </w:numPr>
      </w:pPr>
      <w:r w:rsidRPr="00BB5FED">
        <w:rPr>
          <w:b/>
        </w:rPr>
        <w:t>P</w:t>
      </w:r>
      <w:r w:rsidR="00604969" w:rsidRPr="00BB5FED">
        <w:rPr>
          <w:b/>
        </w:rPr>
        <w:t xml:space="preserve">ast and </w:t>
      </w:r>
      <w:r w:rsidRPr="00BB5FED">
        <w:rPr>
          <w:b/>
        </w:rPr>
        <w:t>future</w:t>
      </w:r>
      <w:r w:rsidR="00604969" w:rsidRPr="00BB5FED">
        <w:rPr>
          <w:b/>
        </w:rPr>
        <w:t xml:space="preserve"> water </w:t>
      </w:r>
      <w:r w:rsidRPr="00BB5FED">
        <w:rPr>
          <w:b/>
        </w:rPr>
        <w:t>policy changes</w:t>
      </w:r>
      <w:r w:rsidR="004917E7" w:rsidRPr="00BB5FED">
        <w:rPr>
          <w:b/>
        </w:rPr>
        <w:t xml:space="preserve">: </w:t>
      </w:r>
      <w:r w:rsidR="004917E7">
        <w:t xml:space="preserve">the model could be used to examine the effects </w:t>
      </w:r>
      <w:r w:rsidR="0043481E">
        <w:t xml:space="preserve">of historical water policy </w:t>
      </w:r>
      <w:r w:rsidR="00DA2BE1">
        <w:t xml:space="preserve">changes </w:t>
      </w:r>
      <w:r w:rsidR="004917E7">
        <w:t>on water markets and the irrigation sector – such as environmental water recovery associated with the Murray-Darling Basin plan.</w:t>
      </w:r>
    </w:p>
    <w:p w14:paraId="1B98239B" w14:textId="5D916AFB" w:rsidR="00BB5FED" w:rsidRPr="00BB5FED" w:rsidRDefault="004917E7" w:rsidP="00C67DD0">
      <w:pPr>
        <w:pStyle w:val="Bulletlist-level1"/>
        <w:numPr>
          <w:ilvl w:val="0"/>
          <w:numId w:val="17"/>
        </w:numPr>
        <w:rPr>
          <w:b/>
        </w:rPr>
      </w:pPr>
      <w:r w:rsidRPr="00BB5FED">
        <w:rPr>
          <w:b/>
        </w:rPr>
        <w:t xml:space="preserve">Water availability: </w:t>
      </w:r>
      <w:r>
        <w:t xml:space="preserve">the model could examine the implications of changes in water availability associated with climate </w:t>
      </w:r>
      <w:r w:rsidR="00DA2BE1">
        <w:t xml:space="preserve">variability and </w:t>
      </w:r>
      <w:r>
        <w:t>change.</w:t>
      </w:r>
    </w:p>
    <w:p w14:paraId="369AA0F7" w14:textId="2C2DCF3E" w:rsidR="00BB5FED" w:rsidRPr="00BB5FED" w:rsidRDefault="004C62A7" w:rsidP="00C67DD0">
      <w:pPr>
        <w:pStyle w:val="Bulletlist-level1"/>
        <w:numPr>
          <w:ilvl w:val="0"/>
          <w:numId w:val="17"/>
        </w:numPr>
        <w:rPr>
          <w:b/>
        </w:rPr>
      </w:pPr>
      <w:r w:rsidRPr="00BB5FED">
        <w:rPr>
          <w:b/>
        </w:rPr>
        <w:t>Inter-regional water t</w:t>
      </w:r>
      <w:r w:rsidR="00604969" w:rsidRPr="00BB5FED">
        <w:rPr>
          <w:b/>
        </w:rPr>
        <w:t>rade constraints</w:t>
      </w:r>
      <w:r w:rsidR="004917E7" w:rsidRPr="00BB5FED">
        <w:rPr>
          <w:b/>
        </w:rPr>
        <w:t xml:space="preserve">: </w:t>
      </w:r>
      <w:r w:rsidR="004917E7">
        <w:t xml:space="preserve">the model could be used to simulate the effects </w:t>
      </w:r>
      <w:r w:rsidR="0043481E">
        <w:t xml:space="preserve">of changes to interregional water trade constraints </w:t>
      </w:r>
      <w:r w:rsidR="004917E7">
        <w:t xml:space="preserve">on water markets </w:t>
      </w:r>
      <w:r w:rsidR="0043481E">
        <w:t>–</w:t>
      </w:r>
      <w:r w:rsidR="007345C8">
        <w:t xml:space="preserve"> </w:t>
      </w:r>
      <w:r w:rsidR="004917E7">
        <w:t>for example the Murrumbidgee IVT rule.</w:t>
      </w:r>
    </w:p>
    <w:p w14:paraId="651DEB49" w14:textId="2EC1FE6B" w:rsidR="00BB5FED" w:rsidRPr="00BB5FED" w:rsidRDefault="004917E7" w:rsidP="00C67DD0">
      <w:pPr>
        <w:pStyle w:val="Bulletlist-level1"/>
        <w:numPr>
          <w:ilvl w:val="0"/>
          <w:numId w:val="17"/>
        </w:numPr>
        <w:rPr>
          <w:b/>
        </w:rPr>
      </w:pPr>
      <w:r w:rsidRPr="00BB5FED">
        <w:rPr>
          <w:b/>
        </w:rPr>
        <w:t xml:space="preserve">Changes in perennial plantings: </w:t>
      </w:r>
      <w:r>
        <w:t xml:space="preserve">the model could be used to simulate the effects of </w:t>
      </w:r>
      <w:r w:rsidR="00DA2BE1">
        <w:t xml:space="preserve">future </w:t>
      </w:r>
      <w:r>
        <w:t xml:space="preserve">increases </w:t>
      </w:r>
      <w:r w:rsidR="00DA2BE1">
        <w:t xml:space="preserve">or changes in the mix and location of </w:t>
      </w:r>
      <w:r>
        <w:t>perennial plantings</w:t>
      </w:r>
      <w:r w:rsidR="00CB62FC">
        <w:t>.</w:t>
      </w:r>
      <w:r w:rsidR="00961E1F">
        <w:t xml:space="preserve"> For example the model could evaluate the implications of expanded investment in nuts in the Victorian Murray region.</w:t>
      </w:r>
    </w:p>
    <w:p w14:paraId="47D83B44" w14:textId="4D647840" w:rsidR="009062BF" w:rsidRPr="0043481E" w:rsidRDefault="004C62A7" w:rsidP="00C67DD0">
      <w:pPr>
        <w:pStyle w:val="Bulletlist-level1"/>
        <w:numPr>
          <w:ilvl w:val="0"/>
          <w:numId w:val="17"/>
        </w:numPr>
        <w:rPr>
          <w:b/>
        </w:rPr>
      </w:pPr>
      <w:r w:rsidRPr="00BB5FED">
        <w:rPr>
          <w:b/>
        </w:rPr>
        <w:t>Annual projections</w:t>
      </w:r>
      <w:r w:rsidR="00961E1F" w:rsidRPr="00BB5FED">
        <w:rPr>
          <w:b/>
        </w:rPr>
        <w:t xml:space="preserve">: </w:t>
      </w:r>
      <w:r w:rsidR="00961E1F">
        <w:t xml:space="preserve">the model could also be used to project future allocation prices and trade flows given assumptions </w:t>
      </w:r>
      <w:r w:rsidR="0043481E">
        <w:t>on</w:t>
      </w:r>
      <w:r w:rsidR="00961E1F">
        <w:t xml:space="preserve"> future allocation and rainfall levels.</w:t>
      </w:r>
    </w:p>
    <w:p w14:paraId="57BD0D5E" w14:textId="77777777" w:rsidR="002E707E" w:rsidRDefault="002E707E" w:rsidP="002E707E">
      <w:pPr>
        <w:pStyle w:val="Heading1"/>
      </w:pPr>
      <w:bookmarkStart w:id="113" w:name="_Toc505345876"/>
      <w:bookmarkStart w:id="114" w:name="_Toc486527123"/>
      <w:r>
        <w:lastRenderedPageBreak/>
        <w:t>References</w:t>
      </w:r>
      <w:bookmarkEnd w:id="113"/>
    </w:p>
    <w:p w14:paraId="778E27D1" w14:textId="77777777" w:rsidR="008853EE" w:rsidRDefault="008853EE" w:rsidP="002E707E">
      <w:pPr>
        <w:pStyle w:val="BodyText1"/>
      </w:pPr>
      <w:r w:rsidRPr="00FF6B66">
        <w:t>ABARES 2015, Australian water markets report 2013–14, Australian Bureau of Agricultural and Resource E</w:t>
      </w:r>
      <w:r>
        <w:t xml:space="preserve">conomics and Sciences, Canberra, available at </w:t>
      </w:r>
      <w:hyperlink r:id="rId32" w:history="1">
        <w:r w:rsidRPr="00AB7F8B">
          <w:rPr>
            <w:rStyle w:val="Hyperlink"/>
          </w:rPr>
          <w:t>http://www.agriculture.gov.au/abares/publications/display?url=http://143.188.17.20/anrdl/DAFFService/display.php%3Ffid%3Dpb_awmr_d9aawr20151211.xml</w:t>
        </w:r>
      </w:hyperlink>
      <w:r>
        <w:t xml:space="preserve"> </w:t>
      </w:r>
    </w:p>
    <w:p w14:paraId="239A769D" w14:textId="77777777" w:rsidR="008853EE" w:rsidRDefault="008853EE" w:rsidP="002E707E">
      <w:pPr>
        <w:pStyle w:val="BodyText1"/>
      </w:pPr>
      <w:r w:rsidRPr="0070055A">
        <w:t>ABARES 2016</w:t>
      </w:r>
      <w:r>
        <w:t>a</w:t>
      </w:r>
      <w:r w:rsidRPr="0070055A">
        <w:t>, Catchment Scale Land Use of Australia - Update May 2016, ABARES, Canberra</w:t>
      </w:r>
      <w:r>
        <w:t xml:space="preserve">, available at </w:t>
      </w:r>
      <w:hyperlink r:id="rId33" w:history="1">
        <w:r w:rsidRPr="00CB4D89">
          <w:rPr>
            <w:rStyle w:val="Hyperlink"/>
          </w:rPr>
          <w:t>http://www.agriculture.gov.au/abares/aclump/land-use/data-download</w:t>
        </w:r>
      </w:hyperlink>
      <w:r>
        <w:t xml:space="preserve"> </w:t>
      </w:r>
    </w:p>
    <w:p w14:paraId="77C517E9" w14:textId="77777777" w:rsidR="008853EE" w:rsidRDefault="008853EE" w:rsidP="002E707E">
      <w:pPr>
        <w:pStyle w:val="BodyText1"/>
      </w:pPr>
      <w:r w:rsidRPr="00FF6B66">
        <w:t>ABARES 201</w:t>
      </w:r>
      <w:r>
        <w:t>6b</w:t>
      </w:r>
      <w:r w:rsidRPr="00FF6B66">
        <w:t>, Australian Water Markets Report 2014–15, Australian Bureau of Agricultural and Resources E</w:t>
      </w:r>
      <w:r>
        <w:t xml:space="preserve">conomics and Sciences, Canberra, available at </w:t>
      </w:r>
      <w:hyperlink r:id="rId34" w:history="1">
        <w:r w:rsidRPr="00AB7F8B">
          <w:rPr>
            <w:rStyle w:val="Hyperlink"/>
          </w:rPr>
          <w:t>http://www.agriculture.gov.au/abares/publications/display?url=http://143.188.17.20/anrdl/DAFFService/display.php%3Ffid%3Dpb_awmr_d9aawr20161202.xml</w:t>
        </w:r>
      </w:hyperlink>
      <w:r>
        <w:t xml:space="preserve"> </w:t>
      </w:r>
    </w:p>
    <w:p w14:paraId="5F332C4B" w14:textId="77777777" w:rsidR="008853EE" w:rsidRDefault="008853EE" w:rsidP="002E707E">
      <w:pPr>
        <w:pStyle w:val="BodyText1"/>
      </w:pPr>
      <w:r>
        <w:t xml:space="preserve">ABARES 2017a, ABARES agricultural commodities series, Australian Bureau of Agricultural and Resource Economics and Sciences, Canberra, available at </w:t>
      </w:r>
      <w:hyperlink r:id="rId35" w:history="1">
        <w:r w:rsidRPr="00AB7F8B">
          <w:rPr>
            <w:rStyle w:val="Hyperlink"/>
          </w:rPr>
          <w:t>http://www.agriculture.gov.au/abares/publications/display?url=http://143.188.17.20/anrdl/DAFFService/display.php%3Ffid%3Dpb_agcomd9abcc20170307_0S6mp.xml</w:t>
        </w:r>
      </w:hyperlink>
      <w:r>
        <w:t xml:space="preserve"> </w:t>
      </w:r>
    </w:p>
    <w:p w14:paraId="493733C1" w14:textId="77777777" w:rsidR="008853EE" w:rsidRDefault="008853EE" w:rsidP="002E707E">
      <w:pPr>
        <w:pStyle w:val="BodyText1"/>
      </w:pPr>
      <w:r>
        <w:t>ABARES 2017b</w:t>
      </w:r>
      <w:r w:rsidRPr="00FF6B66">
        <w:t>, Australian Water Markets Report 2015–16, Australian Bureau of Agricultural and Resources E</w:t>
      </w:r>
      <w:r>
        <w:t xml:space="preserve">conomics and Sciences, Canberra, available at </w:t>
      </w:r>
      <w:hyperlink r:id="rId36" w:history="1">
        <w:r w:rsidRPr="00AB7F8B">
          <w:rPr>
            <w:rStyle w:val="Hyperlink"/>
          </w:rPr>
          <w:t>http://www.agriculture.gov.au/abares/research-topics/water/aust-water-markets-reports</w:t>
        </w:r>
      </w:hyperlink>
      <w:r>
        <w:t xml:space="preserve"> </w:t>
      </w:r>
    </w:p>
    <w:p w14:paraId="65C94C47" w14:textId="77777777" w:rsidR="008853EE" w:rsidRDefault="008853EE" w:rsidP="002E707E">
      <w:pPr>
        <w:pStyle w:val="BodyText1"/>
      </w:pPr>
      <w:r>
        <w:t xml:space="preserve">ABS 2010, Australian wine and grape industry 2010, cat. no. 1329.0, Australian Bureau of Statistics, Canberra, available at </w:t>
      </w:r>
      <w:hyperlink r:id="rId37" w:history="1">
        <w:r w:rsidRPr="00AB7F8B">
          <w:rPr>
            <w:rStyle w:val="Hyperlink"/>
          </w:rPr>
          <w:t>http://www.abs.gov.au/ausstats/abs@.nsf/mf/1329.0</w:t>
        </w:r>
      </w:hyperlink>
      <w:r>
        <w:t xml:space="preserve"> </w:t>
      </w:r>
    </w:p>
    <w:p w14:paraId="76801F79" w14:textId="77777777" w:rsidR="008853EE" w:rsidRDefault="008853EE" w:rsidP="002E707E">
      <w:pPr>
        <w:pStyle w:val="BodyText1"/>
      </w:pPr>
      <w:r w:rsidRPr="009E52CC">
        <w:t>ABS 2015, Gross value of irrigated agricultural production 2013–14,</w:t>
      </w:r>
      <w:r>
        <w:t xml:space="preserve"> cat. no. 4610.0,</w:t>
      </w:r>
      <w:r w:rsidRPr="009E52CC">
        <w:t xml:space="preserve"> Australian Bureau of Statistics, Canberra, available at </w:t>
      </w:r>
      <w:hyperlink r:id="rId38" w:history="1">
        <w:r w:rsidRPr="00AB7F8B">
          <w:rPr>
            <w:rStyle w:val="Hyperlink"/>
          </w:rPr>
          <w:t>http://www.abs.gov.au/ausstats/abs@.nsf/mf/4610.0.55.008</w:t>
        </w:r>
      </w:hyperlink>
      <w:r>
        <w:t xml:space="preserve"> </w:t>
      </w:r>
    </w:p>
    <w:p w14:paraId="2C446370" w14:textId="77777777" w:rsidR="008853EE" w:rsidRDefault="008853EE" w:rsidP="002E707E">
      <w:pPr>
        <w:pStyle w:val="BodyText1"/>
      </w:pPr>
      <w:r>
        <w:t xml:space="preserve">ABS 2016a, Agricultural commodities Australia, cat. no. 7121.0, Australian Bureau of Statistics, Canberra, available at </w:t>
      </w:r>
      <w:hyperlink r:id="rId39" w:history="1">
        <w:r w:rsidRPr="00AB7F8B">
          <w:rPr>
            <w:rStyle w:val="Hyperlink"/>
          </w:rPr>
          <w:t>http://www.abs.gov.au/ausstats/abs@.nsf/mf/7121.0</w:t>
        </w:r>
      </w:hyperlink>
      <w:r>
        <w:t xml:space="preserve"> </w:t>
      </w:r>
    </w:p>
    <w:p w14:paraId="56A78A8A" w14:textId="77777777" w:rsidR="008853EE" w:rsidRDefault="008853EE" w:rsidP="002E707E">
      <w:pPr>
        <w:pStyle w:val="BodyText1"/>
      </w:pPr>
      <w:r w:rsidRPr="009E52CC">
        <w:t>ABS 2016</w:t>
      </w:r>
      <w:r>
        <w:t>b</w:t>
      </w:r>
      <w:r w:rsidRPr="009E52CC">
        <w:t xml:space="preserve">, Water use on Australian farms 2014–15, cat. no. 4618.0, Australian Bureau of Statistics, Canberra, available at </w:t>
      </w:r>
      <w:hyperlink r:id="rId40" w:history="1">
        <w:r w:rsidRPr="00AB7F8B">
          <w:rPr>
            <w:rStyle w:val="Hyperlink"/>
          </w:rPr>
          <w:t>http://www.abs.gov.au/ausstats/abs@.nsf/mf/4618.0</w:t>
        </w:r>
      </w:hyperlink>
      <w:r>
        <w:t xml:space="preserve"> </w:t>
      </w:r>
    </w:p>
    <w:p w14:paraId="747ABB94" w14:textId="77777777" w:rsidR="008853EE" w:rsidRDefault="008853EE" w:rsidP="002E707E">
      <w:pPr>
        <w:pStyle w:val="BodyText1"/>
      </w:pPr>
      <w:r w:rsidRPr="0018270F">
        <w:t>Adamson, D., Loch, A., Schwabe, K., 2017. Adaptation responses to increasing drought frequency. Australian Journal of Agricultural and Resource Economics, 61(3): 385-403</w:t>
      </w:r>
    </w:p>
    <w:p w14:paraId="237B08BD" w14:textId="77777777" w:rsidR="008853EE" w:rsidRDefault="008853EE" w:rsidP="002E707E">
      <w:pPr>
        <w:pStyle w:val="BodyText1"/>
      </w:pPr>
      <w:r w:rsidRPr="00973EBC">
        <w:t>Adamson, D., Malla</w:t>
      </w:r>
      <w:r>
        <w:t xml:space="preserve">waarachchi, T. and Quiggin, J, </w:t>
      </w:r>
      <w:r w:rsidRPr="00973EBC">
        <w:t>2007, Water use and salinity in the Murray–Darling Basin: A state-contingent model. Australian Journal of Agricultural and Resource Economics, 51: 263–281.</w:t>
      </w:r>
    </w:p>
    <w:p w14:paraId="420B0AC2" w14:textId="77777777" w:rsidR="008853EE" w:rsidRDefault="008853EE" w:rsidP="002E707E">
      <w:pPr>
        <w:pStyle w:val="BodyText1"/>
      </w:pPr>
      <w:r>
        <w:t xml:space="preserve">Aither 2016a, Supply-side drivers of water allocation prices, Aither, Canberra, available at </w:t>
      </w:r>
      <w:hyperlink r:id="rId41" w:history="1">
        <w:r w:rsidRPr="00266EF0">
          <w:rPr>
            <w:rStyle w:val="Hyperlink"/>
          </w:rPr>
          <w:t>http://www.aither.com.au/insights/published/</w:t>
        </w:r>
      </w:hyperlink>
    </w:p>
    <w:p w14:paraId="3CA894FC" w14:textId="77777777" w:rsidR="008853EE" w:rsidRDefault="008853EE" w:rsidP="002E707E">
      <w:pPr>
        <w:pStyle w:val="BodyText1"/>
      </w:pPr>
      <w:r>
        <w:t xml:space="preserve">Aither 2016b, Contemporary trends and drivers of irrigation in the southern Murray-Darling Basin, report for RIRDC National Rural Issues, Rural Industries Research and Development Corporation, Canberra, available at </w:t>
      </w:r>
      <w:hyperlink r:id="rId42" w:history="1">
        <w:r w:rsidRPr="00266EF0">
          <w:rPr>
            <w:rStyle w:val="Hyperlink"/>
          </w:rPr>
          <w:t>http://www.aither.com.au/insights/published/</w:t>
        </w:r>
      </w:hyperlink>
      <w:r>
        <w:t xml:space="preserve"> </w:t>
      </w:r>
    </w:p>
    <w:p w14:paraId="7FF8D6CF" w14:textId="77777777" w:rsidR="008853EE" w:rsidRDefault="008853EE" w:rsidP="008853EE">
      <w:pPr>
        <w:pStyle w:val="BodyText1"/>
      </w:pPr>
      <w:r w:rsidRPr="0018270F">
        <w:t>Apples, D, Douglas, R and Dwyer, G 2004, Responsiveness of Demand for Irrigation Water: A</w:t>
      </w:r>
      <w:r>
        <w:t xml:space="preserve"> </w:t>
      </w:r>
      <w:r w:rsidRPr="0018270F" w:rsidDel="008853EE">
        <w:t xml:space="preserve"> </w:t>
      </w:r>
      <w:r w:rsidRPr="0018270F">
        <w:t>Focus</w:t>
      </w:r>
      <w:r>
        <w:t xml:space="preserve"> </w:t>
      </w:r>
      <w:r w:rsidRPr="003A5859">
        <w:t>on the Southern Murray–Darling Basin, Productivity Commission Staff Paper.</w:t>
      </w:r>
    </w:p>
    <w:p w14:paraId="5ACDAF91" w14:textId="77777777" w:rsidR="008853EE" w:rsidRPr="00A2230E" w:rsidRDefault="008853EE" w:rsidP="008853EE">
      <w:pPr>
        <w:pStyle w:val="BodyText1"/>
      </w:pPr>
      <w:r w:rsidRPr="006F3E28">
        <w:lastRenderedPageBreak/>
        <w:t>Bjornlund, H and Rossini, P 2005, ‘Fundamentals determining prices and activities in the market</w:t>
      </w:r>
      <w:r>
        <w:t xml:space="preserve"> </w:t>
      </w:r>
      <w:r w:rsidRPr="006F3E28">
        <w:t>for water allocations’, International Journal of Water Resource Development, vol. 21, pp. 355–369.</w:t>
      </w:r>
    </w:p>
    <w:p w14:paraId="4FBDF5AB" w14:textId="77777777" w:rsidR="008853EE" w:rsidRDefault="008853EE" w:rsidP="002E707E">
      <w:pPr>
        <w:pStyle w:val="BodyText1"/>
      </w:pPr>
      <w:r>
        <w:t xml:space="preserve">BOM 2017, </w:t>
      </w:r>
      <w:r w:rsidRPr="009E52CC">
        <w:t>High resolution monthly and multi-monthly rainfall gridded datasets from 1900 onwards</w:t>
      </w:r>
      <w:r>
        <w:t xml:space="preserve">, Bureau of Meteorology, available at </w:t>
      </w:r>
      <w:hyperlink r:id="rId43" w:history="1">
        <w:r w:rsidRPr="00CB4D89">
          <w:rPr>
            <w:rStyle w:val="Hyperlink"/>
          </w:rPr>
          <w:t>http://www.bom.gov.au/jsp/awap/rain/index.jsp</w:t>
        </w:r>
      </w:hyperlink>
      <w:r>
        <w:t xml:space="preserve"> </w:t>
      </w:r>
    </w:p>
    <w:p w14:paraId="45868035" w14:textId="77777777" w:rsidR="008853EE" w:rsidRDefault="008853EE" w:rsidP="002E707E">
      <w:pPr>
        <w:pStyle w:val="BodyText1"/>
      </w:pPr>
      <w:r w:rsidRPr="009E52CC">
        <w:t>Brennan, D 2006, ‘Water policy reform in Australia: lessons from the Victorian seasonal water market’, Australian Journal of Agricultural and Resource Economics, vol. 50, no. 3, pp. 403–23.</w:t>
      </w:r>
    </w:p>
    <w:p w14:paraId="53F137FC" w14:textId="538B574B" w:rsidR="008853EE" w:rsidRPr="00973EBC" w:rsidRDefault="008853EE" w:rsidP="002E707E">
      <w:pPr>
        <w:pStyle w:val="BodyText1"/>
      </w:pPr>
      <w:r w:rsidRPr="00973EBC">
        <w:t>Brennan, D 2010, Water prices in the lower Murray market: the effect of physical trading constraints, climate change and the spatial pattern of</w:t>
      </w:r>
      <w:r>
        <w:t xml:space="preserve"> buyback, unpublished manuscript</w:t>
      </w:r>
      <w:r w:rsidRPr="00973EBC">
        <w:t>.</w:t>
      </w:r>
    </w:p>
    <w:p w14:paraId="67FDAA5E" w14:textId="77777777" w:rsidR="008853EE" w:rsidRDefault="008853EE" w:rsidP="002E707E">
      <w:pPr>
        <w:pStyle w:val="BodyText1"/>
      </w:pPr>
      <w:r w:rsidRPr="007E217A">
        <w:t>Caboche T, Shafron W, Gunning-Trant C, Lubulwa M, Martin P, 2013, Australian wine grapes: financial and business performance of wine grape growers 2011–12, ABARES research report (13.14), Canberra, December</w:t>
      </w:r>
      <w:r>
        <w:t xml:space="preserve">, available at </w:t>
      </w:r>
      <w:hyperlink r:id="rId44" w:history="1">
        <w:r w:rsidRPr="0069755D">
          <w:rPr>
            <w:rStyle w:val="Hyperlink"/>
          </w:rPr>
          <w:t>http://www.agriculture.gov.au/abares/publications/display?url=http://143.188.17.20/anrdl/DAFFService/display.php?fid=pb_awgfbpd9aasw20131219.xml</w:t>
        </w:r>
      </w:hyperlink>
      <w:r>
        <w:t xml:space="preserve"> </w:t>
      </w:r>
    </w:p>
    <w:p w14:paraId="097DC09A" w14:textId="77777777" w:rsidR="008853EE" w:rsidRDefault="008853EE" w:rsidP="002E707E">
      <w:pPr>
        <w:pStyle w:val="BodyText1"/>
      </w:pPr>
      <w:r>
        <w:t xml:space="preserve">CEWO 2017, Commonwealth Environmental Water Office Publications and resources, Commonwealth Environmental Water Office, available at </w:t>
      </w:r>
      <w:hyperlink r:id="rId45" w:history="1">
        <w:r w:rsidRPr="00AB7F8B">
          <w:rPr>
            <w:rStyle w:val="Hyperlink"/>
          </w:rPr>
          <w:t>http://www.environment.gov.au/water/cewo/publications</w:t>
        </w:r>
      </w:hyperlink>
      <w:r>
        <w:t xml:space="preserve"> </w:t>
      </w:r>
    </w:p>
    <w:p w14:paraId="38528F5D" w14:textId="77777777" w:rsidR="008853EE" w:rsidRDefault="008853EE" w:rsidP="002E707E">
      <w:pPr>
        <w:pStyle w:val="BodyText1"/>
      </w:pPr>
      <w:r>
        <w:t xml:space="preserve">CSIRO &amp; BOM 2015, Climate Change in Australia Information for Australia’s Natural Resource Management Regions: Technical Report, CSIRO and Bureau of Meteorology, Australia, available at </w:t>
      </w:r>
      <w:hyperlink r:id="rId46" w:history="1">
        <w:r w:rsidRPr="00B61586">
          <w:rPr>
            <w:rStyle w:val="Hyperlink"/>
          </w:rPr>
          <w:t>https://www.climatechangeinaustralia.gov.au/media/ccia/2.1.6/cms_page_media/168/CCIA_2015_NRM_TechnicalReport_WEB.pdf</w:t>
        </w:r>
      </w:hyperlink>
    </w:p>
    <w:p w14:paraId="5252BE32" w14:textId="77777777" w:rsidR="008853EE" w:rsidRDefault="008853EE" w:rsidP="002E707E">
      <w:pPr>
        <w:pStyle w:val="BodyText1"/>
        <w:rPr>
          <w:rStyle w:val="Hyperlink"/>
        </w:rPr>
      </w:pPr>
      <w:r w:rsidRPr="009E52CC">
        <w:t xml:space="preserve">CSIRO 2008, Murray–Darling Basin Sustainable Yields Project, Commonwealth Scientific and Industrial Research Organisation, available at </w:t>
      </w:r>
      <w:hyperlink r:id="rId47" w:history="1">
        <w:r w:rsidRPr="00CB4D89">
          <w:rPr>
            <w:rStyle w:val="Hyperlink"/>
          </w:rPr>
          <w:t>https://www.csiro.au/en/Research/LWF/Areas/Water-resources/Assessing-water-resources/Sustainable-yields/MurrayDarlingBasin</w:t>
        </w:r>
      </w:hyperlink>
    </w:p>
    <w:p w14:paraId="4B577515" w14:textId="77777777" w:rsidR="008853EE" w:rsidRPr="00973EBC" w:rsidRDefault="008853EE" w:rsidP="002E707E">
      <w:r w:rsidRPr="00973EBC">
        <w:t xml:space="preserve">CSIRO 2012, ‘Climate and water availability in south-eastern Australia: a synthesis of findings from Phase 2 of the South Eastern Australian Climate Initiative (SEACI)’, Commonwealth Scientific and Industrial Research Organisation, </w:t>
      </w:r>
      <w:hyperlink r:id="rId48" w:history="1">
        <w:r w:rsidRPr="00973EBC">
          <w:rPr>
            <w:rStyle w:val="Hyperlink"/>
          </w:rPr>
          <w:t>seaci.org/publications/documents/SEACI-2Reports/SEACI_Phase2_SynthesisReport.pdf</w:t>
        </w:r>
      </w:hyperlink>
      <w:r w:rsidRPr="00973EBC">
        <w:t>.</w:t>
      </w:r>
    </w:p>
    <w:p w14:paraId="75337633" w14:textId="77777777" w:rsidR="008853EE" w:rsidRDefault="008853EE" w:rsidP="002E707E">
      <w:pPr>
        <w:pStyle w:val="BodyText1"/>
      </w:pPr>
      <w:r>
        <w:t xml:space="preserve">DELWP 2017, Victorian water register, Victoria Department of Environment, Land, Water and Planning, available at: </w:t>
      </w:r>
      <w:hyperlink r:id="rId49" w:history="1">
        <w:r w:rsidRPr="00266EF0">
          <w:rPr>
            <w:rStyle w:val="Hyperlink"/>
          </w:rPr>
          <w:t>http://waterregister.vic.gov.au/</w:t>
        </w:r>
      </w:hyperlink>
      <w:r>
        <w:t xml:space="preserve"> </w:t>
      </w:r>
    </w:p>
    <w:p w14:paraId="0EF65826" w14:textId="77777777" w:rsidR="008853EE" w:rsidRDefault="008853EE" w:rsidP="002E707E">
      <w:pPr>
        <w:pStyle w:val="BodyText1"/>
        <w:rPr>
          <w:rStyle w:val="Hyperlink"/>
        </w:rPr>
      </w:pPr>
      <w:r>
        <w:t xml:space="preserve">DEWNR 2017, South Australia water allocations and announcements, South Australia Department of Environment, Water and Natural Resources, available at: </w:t>
      </w:r>
      <w:hyperlink r:id="rId50" w:history="1">
        <w:r w:rsidRPr="00266EF0">
          <w:rPr>
            <w:rStyle w:val="Hyperlink"/>
          </w:rPr>
          <w:t>http://www.environment.sa.gov.au/managing-natural-resources/river-murray/water-allocation-and-carryover/water-allocations-and-announcements</w:t>
        </w:r>
      </w:hyperlink>
    </w:p>
    <w:p w14:paraId="1BA0720A" w14:textId="77777777" w:rsidR="008853EE" w:rsidRPr="00973EBC" w:rsidRDefault="008853EE" w:rsidP="002E707E">
      <w:pPr>
        <w:pStyle w:val="BodyText1"/>
      </w:pPr>
      <w:r>
        <w:t>Doole, G J and Marsh, D K,</w:t>
      </w:r>
      <w:r w:rsidRPr="00973EBC">
        <w:t xml:space="preserve"> </w:t>
      </w:r>
      <w:r>
        <w:t>2014,</w:t>
      </w:r>
      <w:r w:rsidRPr="00973EBC">
        <w:t xml:space="preserve"> Methodological limitations in the evaluation of policies to reduce nitrate leaching from New Zealand agriculture, Australian Journal of Agricultural and Resource Economics 58, 78–89 </w:t>
      </w:r>
    </w:p>
    <w:p w14:paraId="7543A100" w14:textId="77777777" w:rsidR="008853EE" w:rsidRDefault="008853EE" w:rsidP="002E707E">
      <w:pPr>
        <w:pStyle w:val="BodyText1"/>
      </w:pPr>
      <w:r>
        <w:t xml:space="preserve">DPI 2017a, Historic available water determination data, New South Wales Department of Primary Industries – Water, Sydney, available at </w:t>
      </w:r>
      <w:hyperlink r:id="rId51" w:history="1">
        <w:r w:rsidRPr="007E63D5">
          <w:rPr>
            <w:rStyle w:val="Hyperlink"/>
          </w:rPr>
          <w:t>http://www.water.nsw.gov.au/water-management/water-availability/water-accounting</w:t>
        </w:r>
      </w:hyperlink>
      <w:r w:rsidRPr="007E63D5">
        <w:t xml:space="preserve"> </w:t>
      </w:r>
    </w:p>
    <w:p w14:paraId="3E84861F" w14:textId="77777777" w:rsidR="008853EE" w:rsidRDefault="008853EE" w:rsidP="002E707E">
      <w:pPr>
        <w:pStyle w:val="BodyText1"/>
      </w:pPr>
      <w:r>
        <w:lastRenderedPageBreak/>
        <w:t xml:space="preserve">DPI 2017b, Water accounting, New South Wales Department of Primary Industries – Water, Sydney, available at: </w:t>
      </w:r>
      <w:hyperlink r:id="rId52" w:history="1">
        <w:r w:rsidRPr="00266EF0">
          <w:rPr>
            <w:rStyle w:val="Hyperlink"/>
          </w:rPr>
          <w:t>http://www.water.nsw.gov.au/water-management/water-availability/water-accounting</w:t>
        </w:r>
      </w:hyperlink>
      <w:r>
        <w:t xml:space="preserve"> </w:t>
      </w:r>
    </w:p>
    <w:p w14:paraId="6CD7376E" w14:textId="77777777" w:rsidR="008853EE" w:rsidRDefault="008853EE" w:rsidP="002E707E">
      <w:pPr>
        <w:pStyle w:val="BodyText1"/>
      </w:pPr>
      <w:r>
        <w:t>Grafton, R and</w:t>
      </w:r>
      <w:r w:rsidRPr="00973EBC">
        <w:t xml:space="preserve"> Jiang, Q 2011, ‘Economic Effects of Water Recovery on Irrigated Agriculture in the Murray–Darling Basin’, The Australian Journal of Agricultural and Resource Economics, Vol. 55, pp. 1–13.</w:t>
      </w:r>
    </w:p>
    <w:p w14:paraId="177669AE" w14:textId="77777777" w:rsidR="008853EE" w:rsidRDefault="008853EE" w:rsidP="002E707E">
      <w:pPr>
        <w:autoSpaceDE w:val="0"/>
        <w:autoSpaceDN w:val="0"/>
        <w:adjustRightInd w:val="0"/>
        <w:spacing w:line="240" w:lineRule="auto"/>
      </w:pPr>
      <w:r>
        <w:t>Hafi, A, Thorpe, S and</w:t>
      </w:r>
      <w:r w:rsidRPr="00973EBC">
        <w:t xml:space="preserve"> Foster, A 2009, ‘The impact of climate change on the irrigated agricultural industries in the Murray–Darling Basin’, ABARE Conference Paper 09.03, presented at the Australian Agricultural and Resource Economics Society Conference, Cairns, Queensland, 11–13 February.</w:t>
      </w:r>
    </w:p>
    <w:p w14:paraId="34C0EF49" w14:textId="77777777" w:rsidR="008853EE" w:rsidRPr="00973EBC" w:rsidRDefault="008853EE" w:rsidP="002E707E">
      <w:pPr>
        <w:pStyle w:val="BodyText1"/>
      </w:pPr>
      <w:r w:rsidRPr="00973EBC">
        <w:t>Hall, N, Poulter, D and Curtotti, R 1994, ABARE Model of Irrigation Farming in the Southern Murray–Darling Basin, ABARE Research Report 94.4, Canberra.</w:t>
      </w:r>
    </w:p>
    <w:p w14:paraId="68A88A66" w14:textId="77777777" w:rsidR="008853EE" w:rsidRPr="00973EBC" w:rsidRDefault="008853EE" w:rsidP="002E707E">
      <w:r w:rsidRPr="00973EBC">
        <w:t xml:space="preserve">Heckelei, </w:t>
      </w:r>
      <w:r>
        <w:t xml:space="preserve">T and </w:t>
      </w:r>
      <w:r w:rsidRPr="00973EBC">
        <w:t>Wolff</w:t>
      </w:r>
      <w:r>
        <w:t xml:space="preserve">, H 2003, </w:t>
      </w:r>
      <w:r w:rsidRPr="00973EBC">
        <w:t xml:space="preserve">Estimation of constrained optimisation models for agricultural supply analysis based on generalised maximum entropy, European Review of Agricultural Economics, Volume 30, Issue 1, 1 March 2003, Pages 27–50, </w:t>
      </w:r>
      <w:hyperlink r:id="rId53" w:history="1">
        <w:r>
          <w:rPr>
            <w:rStyle w:val="Hyperlink"/>
          </w:rPr>
          <w:t>doi.org/10.1093/erae/30.1.27</w:t>
        </w:r>
      </w:hyperlink>
    </w:p>
    <w:p w14:paraId="24D264D1" w14:textId="77777777" w:rsidR="008853EE" w:rsidRDefault="008853EE" w:rsidP="002E707E">
      <w:pPr>
        <w:pStyle w:val="BodyText1"/>
        <w:rPr>
          <w:rStyle w:val="A5"/>
          <w:rFonts w:cs="Times New Roman"/>
          <w:color w:val="000000" w:themeColor="text1"/>
          <w:sz w:val="22"/>
          <w:szCs w:val="22"/>
        </w:rPr>
      </w:pPr>
      <w:r w:rsidRPr="00973B94">
        <w:rPr>
          <w:rStyle w:val="A5"/>
          <w:rFonts w:cs="Times New Roman"/>
          <w:color w:val="000000" w:themeColor="text1"/>
          <w:sz w:val="22"/>
          <w:szCs w:val="22"/>
        </w:rPr>
        <w:t xml:space="preserve">Hughes, N, Gupta, M &amp; Rathakumar, K 2016, </w:t>
      </w:r>
      <w:r w:rsidRPr="00973B94">
        <w:rPr>
          <w:rStyle w:val="A5"/>
          <w:rFonts w:cs="Times New Roman"/>
          <w:i/>
          <w:color w:val="000000" w:themeColor="text1"/>
          <w:sz w:val="22"/>
          <w:szCs w:val="22"/>
        </w:rPr>
        <w:t>Lessons from the water market: the southern Murray–Darling Basin water allocation market 2000–16</w:t>
      </w:r>
      <w:r w:rsidRPr="00973B94">
        <w:rPr>
          <w:rStyle w:val="A5"/>
          <w:rFonts w:cs="Times New Roman"/>
          <w:color w:val="000000" w:themeColor="text1"/>
          <w:sz w:val="22"/>
          <w:szCs w:val="22"/>
        </w:rPr>
        <w:t>, ABARES research report 16.12, Canberra, December</w:t>
      </w:r>
      <w:r>
        <w:rPr>
          <w:rStyle w:val="A5"/>
          <w:rFonts w:cs="Times New Roman"/>
          <w:color w:val="000000" w:themeColor="text1"/>
          <w:sz w:val="22"/>
          <w:szCs w:val="22"/>
        </w:rPr>
        <w:t xml:space="preserve">, available at </w:t>
      </w:r>
      <w:r w:rsidDel="00DA2BE1">
        <w:rPr>
          <w:rStyle w:val="A5"/>
          <w:rFonts w:cs="Times New Roman"/>
          <w:color w:val="000000" w:themeColor="text1"/>
          <w:sz w:val="22"/>
          <w:szCs w:val="22"/>
        </w:rPr>
        <w:t xml:space="preserve"> </w:t>
      </w:r>
      <w:hyperlink r:id="rId54" w:history="1">
        <w:r w:rsidRPr="00CB4D89">
          <w:rPr>
            <w:rStyle w:val="Hyperlink"/>
          </w:rPr>
          <w:t>http://www.agriculture.gov.au/abares/publications/display?url=http://143.188.17.20/anrdl/DAFFService/display.php?fid=pb_smdwm_d9aawr20161202.xml</w:t>
        </w:r>
      </w:hyperlink>
      <w:r w:rsidRPr="00973B94">
        <w:rPr>
          <w:rStyle w:val="A5"/>
          <w:rFonts w:cs="Times New Roman"/>
          <w:color w:val="000000" w:themeColor="text1"/>
          <w:sz w:val="22"/>
          <w:szCs w:val="22"/>
        </w:rPr>
        <w:t>.</w:t>
      </w:r>
    </w:p>
    <w:p w14:paraId="36725FC5" w14:textId="77777777" w:rsidR="008853EE" w:rsidRDefault="008853EE" w:rsidP="002E707E">
      <w:pPr>
        <w:pStyle w:val="BodyText1"/>
      </w:pPr>
      <w:r>
        <w:t xml:space="preserve">Murray Irrigation 2016, Murray Irrigation water exchange, Murray Irrigation, Deniliquin, Australia, available at </w:t>
      </w:r>
      <w:hyperlink r:id="rId55" w:history="1">
        <w:r w:rsidRPr="00266EF0">
          <w:rPr>
            <w:rStyle w:val="Hyperlink"/>
          </w:rPr>
          <w:t>http://www.murrayirrigation.com.au/water/water-trade/water-exchange/</w:t>
        </w:r>
      </w:hyperlink>
    </w:p>
    <w:p w14:paraId="5CD0EB18" w14:textId="77777777" w:rsidR="008853EE" w:rsidRDefault="008853EE" w:rsidP="002E707E">
      <w:pPr>
        <w:pStyle w:val="BodyText1"/>
      </w:pPr>
      <w:r>
        <w:t xml:space="preserve">NVRM 2017, Seasonal determinations, Northern Victoria Resource Manager, Tatura, Victoria, available at: </w:t>
      </w:r>
      <w:hyperlink r:id="rId56" w:history="1">
        <w:r w:rsidRPr="00266EF0">
          <w:rPr>
            <w:rStyle w:val="Hyperlink"/>
          </w:rPr>
          <w:t>http://nvrm.net.au/seasonal-determinations</w:t>
        </w:r>
      </w:hyperlink>
      <w:r>
        <w:t xml:space="preserve"> </w:t>
      </w:r>
    </w:p>
    <w:p w14:paraId="587D13D9" w14:textId="59649D72" w:rsidR="008853EE" w:rsidRPr="008853EE" w:rsidRDefault="008853EE" w:rsidP="0018270F">
      <w:pPr>
        <w:autoSpaceDE w:val="0"/>
        <w:autoSpaceDN w:val="0"/>
        <w:adjustRightInd w:val="0"/>
        <w:spacing w:line="240" w:lineRule="auto"/>
      </w:pPr>
      <w:r w:rsidRPr="008853EE">
        <w:t>Qureshi, M, Ranjan, R and Qureshi, S 2010, ‘An empirical assessment of the value of irrigation water: the case study of Murrumbidgee catchment’, The Australian Journal of Agricultural resource economics, vol. 52. pp. 37–55.</w:t>
      </w:r>
    </w:p>
    <w:p w14:paraId="516F3F27" w14:textId="77777777" w:rsidR="008853EE" w:rsidRPr="00973EBC" w:rsidRDefault="008853EE" w:rsidP="002E707E">
      <w:pPr>
        <w:pStyle w:val="BodyText1"/>
      </w:pPr>
      <w:r w:rsidRPr="00973EBC">
        <w:t>Qureshi</w:t>
      </w:r>
      <w:r>
        <w:t>, M</w:t>
      </w:r>
      <w:r w:rsidRPr="00973EBC">
        <w:t>, Whitten,</w:t>
      </w:r>
      <w:r>
        <w:t xml:space="preserve"> M,</w:t>
      </w:r>
      <w:r w:rsidRPr="00973EBC">
        <w:t xml:space="preserve"> Mainuddin, </w:t>
      </w:r>
      <w:r>
        <w:t xml:space="preserve">M, </w:t>
      </w:r>
      <w:r w:rsidRPr="00973EBC">
        <w:t xml:space="preserve">Marvanek, </w:t>
      </w:r>
      <w:r>
        <w:t xml:space="preserve">S &amp; </w:t>
      </w:r>
      <w:r w:rsidRPr="00973EBC">
        <w:t xml:space="preserve">Elmahdi, </w:t>
      </w:r>
      <w:r>
        <w:t xml:space="preserve">A 2013, </w:t>
      </w:r>
      <w:r w:rsidRPr="00973EBC">
        <w:t>A biophysical and economic model of agriculture and water in the Murray-Darling Basin, Australia, Environmental Modelling &amp; Software, Volume 41, Pages 98-106.</w:t>
      </w:r>
    </w:p>
    <w:p w14:paraId="4A08406F" w14:textId="77777777" w:rsidR="008853EE" w:rsidRDefault="008853EE" w:rsidP="002E707E">
      <w:pPr>
        <w:pStyle w:val="BodyText1"/>
      </w:pPr>
      <w:r>
        <w:t xml:space="preserve">Water Exchange, Water Exchange, Ruralco Water. (now at: </w:t>
      </w:r>
      <w:hyperlink r:id="rId57" w:history="1">
        <w:r w:rsidRPr="00AB7F8B">
          <w:rPr>
            <w:rStyle w:val="Hyperlink"/>
          </w:rPr>
          <w:t>https://www.ruralco.com.au</w:t>
        </w:r>
      </w:hyperlink>
      <w:r>
        <w:t>)</w:t>
      </w:r>
    </w:p>
    <w:p w14:paraId="4C0B3304" w14:textId="77777777" w:rsidR="008853EE" w:rsidRDefault="008853EE" w:rsidP="002E707E">
      <w:pPr>
        <w:pStyle w:val="BodyText1"/>
      </w:pPr>
      <w:r>
        <w:t xml:space="preserve">Waterfind 2016, Waterfind exchange, Waterfind Australia, available at </w:t>
      </w:r>
      <w:hyperlink r:id="rId58" w:history="1">
        <w:r w:rsidRPr="00AB7F8B">
          <w:rPr>
            <w:rStyle w:val="Hyperlink"/>
          </w:rPr>
          <w:t>https://www.waterfind.com.au/</w:t>
        </w:r>
      </w:hyperlink>
      <w:r>
        <w:t xml:space="preserve"> </w:t>
      </w:r>
    </w:p>
    <w:p w14:paraId="64B10860" w14:textId="77777777" w:rsidR="008853EE" w:rsidRDefault="008853EE" w:rsidP="002E707E">
      <w:pPr>
        <w:pStyle w:val="BodyText1"/>
        <w:rPr>
          <w:rStyle w:val="Hyperlink"/>
        </w:rPr>
      </w:pPr>
      <w:r>
        <w:t xml:space="preserve">WaterNSW 2017, NSW Water Availability Reports, WaterNSW, Sydney, available at </w:t>
      </w:r>
      <w:hyperlink r:id="rId59" w:history="1">
        <w:r w:rsidRPr="00CB4D89">
          <w:rPr>
            <w:rStyle w:val="Hyperlink"/>
          </w:rPr>
          <w:t>http://www.waternsw.com.au/customer-service/news/availability</w:t>
        </w:r>
      </w:hyperlink>
    </w:p>
    <w:p w14:paraId="02BF96E7" w14:textId="77777777" w:rsidR="008853EE" w:rsidRDefault="008853EE" w:rsidP="008853EE">
      <w:pPr>
        <w:autoSpaceDE w:val="0"/>
        <w:autoSpaceDN w:val="0"/>
        <w:adjustRightInd w:val="0"/>
        <w:spacing w:after="0" w:line="240" w:lineRule="auto"/>
      </w:pPr>
      <w:r w:rsidRPr="006F3E28">
        <w:t>Wheeler, S, Bjornlund, H, Shanahan, M and Zuo, A 2008, ‘Price elasticity of water allocations</w:t>
      </w:r>
      <w:r>
        <w:t xml:space="preserve"> </w:t>
      </w:r>
      <w:r w:rsidRPr="006F3E28">
        <w:t>demand in the Goulburn–Murray irrigation district’, The Australian Journal of Agricultural and</w:t>
      </w:r>
      <w:r>
        <w:t xml:space="preserve"> </w:t>
      </w:r>
      <w:r w:rsidRPr="006F3E28">
        <w:t>and Resource Economics, vol. 54, pp. 119–136.</w:t>
      </w:r>
    </w:p>
    <w:p w14:paraId="769B489A" w14:textId="5D1ED433" w:rsidR="008853EE" w:rsidRPr="006F3E28" w:rsidRDefault="008853EE" w:rsidP="002E707E">
      <w:pPr>
        <w:autoSpaceDE w:val="0"/>
        <w:autoSpaceDN w:val="0"/>
        <w:adjustRightInd w:val="0"/>
        <w:spacing w:after="0" w:line="240" w:lineRule="auto"/>
      </w:pPr>
    </w:p>
    <w:p w14:paraId="4D66812F" w14:textId="77777777" w:rsidR="002758CD" w:rsidRDefault="002758CD" w:rsidP="002758CD">
      <w:pPr>
        <w:pStyle w:val="Heading1unnumberedchapter"/>
      </w:pPr>
      <w:bookmarkStart w:id="115" w:name="_Toc505345877"/>
      <w:r w:rsidRPr="00F3457E">
        <w:lastRenderedPageBreak/>
        <w:t>Appendix</w:t>
      </w:r>
      <w:r>
        <w:t xml:space="preserve"> A: </w:t>
      </w:r>
      <w:bookmarkEnd w:id="114"/>
      <w:r w:rsidR="00104BDD">
        <w:t>Dataset construction</w:t>
      </w:r>
      <w:bookmarkEnd w:id="115"/>
    </w:p>
    <w:p w14:paraId="7076CDF9" w14:textId="77777777" w:rsidR="00104BDD" w:rsidRDefault="00104BDD" w:rsidP="00104BDD">
      <w:pPr>
        <w:pStyle w:val="BodyText1"/>
      </w:pPr>
      <w:r>
        <w:t>This appendix details the construction of various datasets used in this report.</w:t>
      </w:r>
      <w:r w:rsidR="0096347D">
        <w:t xml:space="preserve"> </w:t>
      </w:r>
      <w:r w:rsidR="0096347D">
        <w:fldChar w:fldCharType="begin"/>
      </w:r>
      <w:r w:rsidR="0096347D">
        <w:instrText xml:space="preserve"> REF _Ref493239958 \h </w:instrText>
      </w:r>
      <w:r w:rsidR="0096347D">
        <w:fldChar w:fldCharType="separate"/>
      </w:r>
      <w:r w:rsidR="00F709AB">
        <w:t>Table A</w:t>
      </w:r>
      <w:r w:rsidR="00F709AB">
        <w:rPr>
          <w:noProof/>
        </w:rPr>
        <w:t>1</w:t>
      </w:r>
      <w:r w:rsidR="0096347D">
        <w:fldChar w:fldCharType="end"/>
      </w:r>
      <w:r w:rsidR="0096347D">
        <w:t xml:space="preserve"> summarises some of the key datasets and their sources.</w:t>
      </w:r>
    </w:p>
    <w:p w14:paraId="18C8CADC" w14:textId="77777777" w:rsidR="0096347D" w:rsidRDefault="0096347D" w:rsidP="0096347D">
      <w:pPr>
        <w:pStyle w:val="Caption"/>
      </w:pPr>
      <w:bookmarkStart w:id="116" w:name="_Ref493239958"/>
      <w:bookmarkStart w:id="117" w:name="_Toc505345902"/>
      <w:r>
        <w:t>Table A</w:t>
      </w:r>
      <w:fldSimple w:instr=" SEQ Table \* ARABIC \r1 ">
        <w:r w:rsidR="00F709AB">
          <w:rPr>
            <w:noProof/>
          </w:rPr>
          <w:t>1</w:t>
        </w:r>
      </w:fldSimple>
      <w:bookmarkEnd w:id="116"/>
      <w:r>
        <w:t xml:space="preserve"> Data variables and sources</w:t>
      </w:r>
      <w:bookmarkEnd w:id="117"/>
    </w:p>
    <w:tbl>
      <w:tblPr>
        <w:tblStyle w:val="ABAREStableleftalign"/>
        <w:tblW w:w="5000" w:type="pct"/>
        <w:tblLook w:val="0000" w:firstRow="0" w:lastRow="0" w:firstColumn="0" w:lastColumn="0" w:noHBand="0" w:noVBand="0"/>
      </w:tblPr>
      <w:tblGrid>
        <w:gridCol w:w="2267"/>
        <w:gridCol w:w="2694"/>
        <w:gridCol w:w="992"/>
        <w:gridCol w:w="1417"/>
        <w:gridCol w:w="1700"/>
      </w:tblGrid>
      <w:tr w:rsidR="0096347D" w14:paraId="25C74F34" w14:textId="77777777" w:rsidTr="00AE77A4">
        <w:tc>
          <w:tcPr>
            <w:tcW w:w="1250" w:type="pct"/>
          </w:tcPr>
          <w:p w14:paraId="6A1B2812" w14:textId="77777777" w:rsidR="0096347D" w:rsidRPr="00250284" w:rsidRDefault="0096347D" w:rsidP="0096347D">
            <w:pPr>
              <w:pStyle w:val="Tabletext"/>
              <w:rPr>
                <w:rStyle w:val="Bold"/>
              </w:rPr>
            </w:pPr>
            <w:r w:rsidRPr="00250284">
              <w:rPr>
                <w:rStyle w:val="Bold"/>
              </w:rPr>
              <w:t>Variable</w:t>
            </w:r>
          </w:p>
        </w:tc>
        <w:tc>
          <w:tcPr>
            <w:tcW w:w="1485" w:type="pct"/>
          </w:tcPr>
          <w:p w14:paraId="2EDD25B0" w14:textId="77777777" w:rsidR="0096347D" w:rsidRPr="00250284" w:rsidRDefault="0096347D" w:rsidP="0096347D">
            <w:pPr>
              <w:pStyle w:val="Tabletext"/>
              <w:rPr>
                <w:rStyle w:val="Bold"/>
              </w:rPr>
            </w:pPr>
            <w:r w:rsidRPr="00250284">
              <w:rPr>
                <w:rStyle w:val="Bold"/>
              </w:rPr>
              <w:t>Description</w:t>
            </w:r>
          </w:p>
        </w:tc>
        <w:tc>
          <w:tcPr>
            <w:tcW w:w="547" w:type="pct"/>
          </w:tcPr>
          <w:p w14:paraId="74FBA108" w14:textId="77777777" w:rsidR="0096347D" w:rsidRPr="00250284" w:rsidRDefault="0096347D" w:rsidP="0096347D">
            <w:pPr>
              <w:pStyle w:val="Tabletext"/>
              <w:rPr>
                <w:rStyle w:val="Bold"/>
              </w:rPr>
            </w:pPr>
            <w:r w:rsidRPr="00250284">
              <w:rPr>
                <w:rStyle w:val="Bold"/>
              </w:rPr>
              <w:t>Units</w:t>
            </w:r>
          </w:p>
        </w:tc>
        <w:tc>
          <w:tcPr>
            <w:tcW w:w="781" w:type="pct"/>
          </w:tcPr>
          <w:p w14:paraId="745DB6C6" w14:textId="77777777" w:rsidR="0096347D" w:rsidRPr="00250284" w:rsidRDefault="0096347D" w:rsidP="0096347D">
            <w:pPr>
              <w:pStyle w:val="Tabletext"/>
              <w:rPr>
                <w:rStyle w:val="Bold"/>
              </w:rPr>
            </w:pPr>
            <w:r>
              <w:rPr>
                <w:rStyle w:val="Bold"/>
              </w:rPr>
              <w:t>Time period</w:t>
            </w:r>
          </w:p>
        </w:tc>
        <w:tc>
          <w:tcPr>
            <w:tcW w:w="937" w:type="pct"/>
          </w:tcPr>
          <w:p w14:paraId="4A39C855" w14:textId="77777777" w:rsidR="0096347D" w:rsidRPr="00250284" w:rsidRDefault="0096347D" w:rsidP="0096347D">
            <w:pPr>
              <w:pStyle w:val="Tabletext"/>
              <w:rPr>
                <w:rStyle w:val="Bold"/>
              </w:rPr>
            </w:pPr>
            <w:r w:rsidRPr="00250284">
              <w:rPr>
                <w:rStyle w:val="Bold"/>
              </w:rPr>
              <w:t>Source</w:t>
            </w:r>
          </w:p>
        </w:tc>
      </w:tr>
      <w:tr w:rsidR="0096347D" w14:paraId="3AAACA32" w14:textId="77777777" w:rsidTr="00AE77A4">
        <w:tc>
          <w:tcPr>
            <w:tcW w:w="1250" w:type="pct"/>
          </w:tcPr>
          <w:p w14:paraId="6A364E10" w14:textId="77777777" w:rsidR="0096347D" w:rsidRDefault="0096347D" w:rsidP="0096347D">
            <w:pPr>
              <w:pStyle w:val="Tabletext"/>
            </w:pPr>
            <w:r w:rsidRPr="00250284">
              <w:t>Rainfall</w:t>
            </w:r>
          </w:p>
        </w:tc>
        <w:tc>
          <w:tcPr>
            <w:tcW w:w="1485" w:type="pct"/>
          </w:tcPr>
          <w:p w14:paraId="405DA34A" w14:textId="77777777" w:rsidR="0096347D" w:rsidRDefault="0096347D" w:rsidP="0096347D">
            <w:pPr>
              <w:pStyle w:val="Tabletext"/>
            </w:pPr>
            <w:r>
              <w:t>Average rainfall by region and year</w:t>
            </w:r>
          </w:p>
        </w:tc>
        <w:tc>
          <w:tcPr>
            <w:tcW w:w="547" w:type="pct"/>
          </w:tcPr>
          <w:p w14:paraId="634E21CD" w14:textId="77777777" w:rsidR="0096347D" w:rsidRDefault="0096347D" w:rsidP="0096347D">
            <w:pPr>
              <w:pStyle w:val="Tabletext"/>
            </w:pPr>
            <w:r>
              <w:t>mm</w:t>
            </w:r>
          </w:p>
        </w:tc>
        <w:tc>
          <w:tcPr>
            <w:tcW w:w="781" w:type="pct"/>
          </w:tcPr>
          <w:p w14:paraId="4773A018" w14:textId="5AD49E22" w:rsidR="0096347D" w:rsidRDefault="00802327" w:rsidP="0096347D">
            <w:pPr>
              <w:pStyle w:val="Tabletext"/>
            </w:pPr>
            <w:r>
              <w:t>2002–03 to 2016–17</w:t>
            </w:r>
          </w:p>
        </w:tc>
        <w:tc>
          <w:tcPr>
            <w:tcW w:w="937" w:type="pct"/>
          </w:tcPr>
          <w:p w14:paraId="39D1A4C4" w14:textId="77777777" w:rsidR="0096347D" w:rsidRDefault="0096347D" w:rsidP="0096347D">
            <w:pPr>
              <w:pStyle w:val="Tabletext"/>
            </w:pPr>
            <w:r>
              <w:t>BOM</w:t>
            </w:r>
          </w:p>
        </w:tc>
      </w:tr>
      <w:tr w:rsidR="0096347D" w14:paraId="32BF5866" w14:textId="77777777" w:rsidTr="00AE77A4">
        <w:tc>
          <w:tcPr>
            <w:tcW w:w="1250" w:type="pct"/>
          </w:tcPr>
          <w:p w14:paraId="451BB595" w14:textId="77777777" w:rsidR="0096347D" w:rsidRPr="005D26CA" w:rsidDel="003063D2" w:rsidRDefault="0096347D" w:rsidP="0096347D">
            <w:pPr>
              <w:pStyle w:val="Tabletext"/>
            </w:pPr>
            <w:r w:rsidRPr="00941D03">
              <w:t>End-of-period water allocation percentage</w:t>
            </w:r>
          </w:p>
        </w:tc>
        <w:tc>
          <w:tcPr>
            <w:tcW w:w="1485" w:type="pct"/>
          </w:tcPr>
          <w:p w14:paraId="5311F1AA" w14:textId="77777777" w:rsidR="0096347D" w:rsidRPr="005D26CA" w:rsidRDefault="0096347D" w:rsidP="0096347D">
            <w:pPr>
              <w:pStyle w:val="Tabletext"/>
            </w:pPr>
            <w:r>
              <w:t>Allocation percentages by entitlement type, region and year</w:t>
            </w:r>
          </w:p>
        </w:tc>
        <w:tc>
          <w:tcPr>
            <w:tcW w:w="547" w:type="pct"/>
          </w:tcPr>
          <w:p w14:paraId="7270ED1B" w14:textId="77777777" w:rsidR="0096347D" w:rsidRPr="005D26CA" w:rsidRDefault="0096347D" w:rsidP="0096347D">
            <w:pPr>
              <w:pStyle w:val="Tabletext"/>
            </w:pPr>
            <w:r>
              <w:t>%</w:t>
            </w:r>
          </w:p>
        </w:tc>
        <w:tc>
          <w:tcPr>
            <w:tcW w:w="781" w:type="pct"/>
          </w:tcPr>
          <w:p w14:paraId="714529A7" w14:textId="6183106D" w:rsidR="0096347D" w:rsidRDefault="00802327" w:rsidP="0096347D">
            <w:pPr>
              <w:pStyle w:val="Tabletext"/>
            </w:pPr>
            <w:r>
              <w:t>2002–03 to 2016–17</w:t>
            </w:r>
          </w:p>
        </w:tc>
        <w:tc>
          <w:tcPr>
            <w:tcW w:w="937" w:type="pct"/>
          </w:tcPr>
          <w:p w14:paraId="055BEDD3" w14:textId="77777777" w:rsidR="0096347D" w:rsidRPr="005D26CA" w:rsidRDefault="0096347D" w:rsidP="0096347D">
            <w:pPr>
              <w:pStyle w:val="Tabletext"/>
            </w:pPr>
            <w:r>
              <w:t>S</w:t>
            </w:r>
            <w:r w:rsidRPr="005D26CA">
              <w:t>tate governments</w:t>
            </w:r>
          </w:p>
        </w:tc>
      </w:tr>
      <w:tr w:rsidR="0096347D" w14:paraId="6CC2B7CC" w14:textId="77777777" w:rsidTr="00AE77A4">
        <w:tc>
          <w:tcPr>
            <w:tcW w:w="1250" w:type="pct"/>
          </w:tcPr>
          <w:p w14:paraId="71AF02FD" w14:textId="77777777" w:rsidR="0096347D" w:rsidRPr="005D26CA" w:rsidDel="003063D2" w:rsidRDefault="0096347D" w:rsidP="0096347D">
            <w:pPr>
              <w:pStyle w:val="Tabletext"/>
            </w:pPr>
            <w:r>
              <w:t>Carryover</w:t>
            </w:r>
          </w:p>
        </w:tc>
        <w:tc>
          <w:tcPr>
            <w:tcW w:w="1485" w:type="pct"/>
          </w:tcPr>
          <w:p w14:paraId="62129E1E" w14:textId="77777777" w:rsidR="0096347D" w:rsidRPr="005D26CA" w:rsidRDefault="0096347D" w:rsidP="0096347D">
            <w:pPr>
              <w:pStyle w:val="Tabletext"/>
            </w:pPr>
            <w:r>
              <w:t>C</w:t>
            </w:r>
            <w:r w:rsidRPr="005D26CA">
              <w:t>arryover percentages by entitlement type, region and year</w:t>
            </w:r>
          </w:p>
        </w:tc>
        <w:tc>
          <w:tcPr>
            <w:tcW w:w="547" w:type="pct"/>
          </w:tcPr>
          <w:p w14:paraId="7F48C8A0" w14:textId="77777777" w:rsidR="0096347D" w:rsidRPr="005D26CA" w:rsidRDefault="0096347D" w:rsidP="0096347D">
            <w:pPr>
              <w:pStyle w:val="Tabletext"/>
            </w:pPr>
            <w:r>
              <w:t>%</w:t>
            </w:r>
          </w:p>
        </w:tc>
        <w:tc>
          <w:tcPr>
            <w:tcW w:w="781" w:type="pct"/>
          </w:tcPr>
          <w:p w14:paraId="26459943" w14:textId="4CC696D5" w:rsidR="0096347D" w:rsidRDefault="0096347D" w:rsidP="0096347D">
            <w:pPr>
              <w:pStyle w:val="Tabletext"/>
            </w:pPr>
            <w:r>
              <w:t xml:space="preserve">2002–03 to </w:t>
            </w:r>
            <w:r w:rsidR="00802327">
              <w:t>2016–17</w:t>
            </w:r>
          </w:p>
        </w:tc>
        <w:tc>
          <w:tcPr>
            <w:tcW w:w="937" w:type="pct"/>
          </w:tcPr>
          <w:p w14:paraId="571571FC" w14:textId="77777777" w:rsidR="0096347D" w:rsidRPr="005D26CA" w:rsidRDefault="0096347D" w:rsidP="0096347D">
            <w:pPr>
              <w:pStyle w:val="Tabletext"/>
            </w:pPr>
            <w:r>
              <w:t>S</w:t>
            </w:r>
            <w:r w:rsidRPr="005D26CA">
              <w:t>tate governments, CEWO</w:t>
            </w:r>
          </w:p>
        </w:tc>
      </w:tr>
      <w:tr w:rsidR="0096347D" w14:paraId="74DB2ECC" w14:textId="77777777" w:rsidTr="00AE77A4">
        <w:tc>
          <w:tcPr>
            <w:tcW w:w="1250" w:type="pct"/>
          </w:tcPr>
          <w:p w14:paraId="0511F27E" w14:textId="77777777" w:rsidR="0096347D" w:rsidRPr="005D26CA" w:rsidRDefault="0096347D" w:rsidP="0096347D">
            <w:pPr>
              <w:pStyle w:val="Tabletext"/>
            </w:pPr>
            <w:r w:rsidRPr="005D26CA">
              <w:t>Water entitlement volume</w:t>
            </w:r>
          </w:p>
        </w:tc>
        <w:tc>
          <w:tcPr>
            <w:tcW w:w="1485" w:type="pct"/>
          </w:tcPr>
          <w:p w14:paraId="1C90761C" w14:textId="77777777" w:rsidR="0096347D" w:rsidRPr="005D26CA" w:rsidRDefault="0096347D" w:rsidP="0096347D">
            <w:pPr>
              <w:pStyle w:val="Tabletext"/>
            </w:pPr>
            <w:r>
              <w:t xml:space="preserve">Entitlement </w:t>
            </w:r>
            <w:r w:rsidRPr="005D26CA">
              <w:t>volume by type, region and year</w:t>
            </w:r>
          </w:p>
        </w:tc>
        <w:tc>
          <w:tcPr>
            <w:tcW w:w="547" w:type="pct"/>
          </w:tcPr>
          <w:p w14:paraId="6D0FDBB2" w14:textId="77777777" w:rsidR="0096347D" w:rsidRPr="005D26CA" w:rsidRDefault="0096347D" w:rsidP="0096347D">
            <w:pPr>
              <w:pStyle w:val="Tabletext"/>
            </w:pPr>
            <w:r>
              <w:t>ML</w:t>
            </w:r>
          </w:p>
        </w:tc>
        <w:tc>
          <w:tcPr>
            <w:tcW w:w="781" w:type="pct"/>
          </w:tcPr>
          <w:p w14:paraId="146C3F77" w14:textId="715FA90F" w:rsidR="0096347D" w:rsidRPr="005D26CA" w:rsidRDefault="0096347D" w:rsidP="0096347D">
            <w:pPr>
              <w:pStyle w:val="Tabletext"/>
            </w:pPr>
            <w:r>
              <w:t xml:space="preserve">2002–03 to </w:t>
            </w:r>
            <w:r w:rsidR="00802327">
              <w:t>2016–17</w:t>
            </w:r>
          </w:p>
        </w:tc>
        <w:tc>
          <w:tcPr>
            <w:tcW w:w="937" w:type="pct"/>
          </w:tcPr>
          <w:p w14:paraId="17CB7F31" w14:textId="77777777" w:rsidR="0096347D" w:rsidRPr="005D26CA" w:rsidRDefault="0096347D" w:rsidP="0096347D">
            <w:pPr>
              <w:pStyle w:val="Tabletext"/>
            </w:pPr>
            <w:r w:rsidRPr="005D26CA">
              <w:t>State governments, DAWR</w:t>
            </w:r>
          </w:p>
        </w:tc>
      </w:tr>
      <w:tr w:rsidR="0096347D" w14:paraId="2DE955A1" w14:textId="77777777" w:rsidTr="00AE77A4">
        <w:tc>
          <w:tcPr>
            <w:tcW w:w="1250" w:type="pct"/>
          </w:tcPr>
          <w:p w14:paraId="179F4A90" w14:textId="77777777" w:rsidR="0096347D" w:rsidRPr="005D26CA" w:rsidRDefault="0096347D" w:rsidP="0096347D">
            <w:pPr>
              <w:pStyle w:val="Tabletext"/>
            </w:pPr>
            <w:r w:rsidRPr="005D26CA">
              <w:t>Net inter-regional water allocation trade</w:t>
            </w:r>
          </w:p>
        </w:tc>
        <w:tc>
          <w:tcPr>
            <w:tcW w:w="1485" w:type="pct"/>
          </w:tcPr>
          <w:p w14:paraId="54FC32EE" w14:textId="77777777" w:rsidR="0096347D" w:rsidRPr="005D26CA" w:rsidRDefault="0096347D" w:rsidP="0096347D">
            <w:pPr>
              <w:pStyle w:val="Tabletext"/>
            </w:pPr>
            <w:r>
              <w:t xml:space="preserve">Allocation trade between </w:t>
            </w:r>
            <w:r w:rsidRPr="005D26CA">
              <w:t>water trade model regions</w:t>
            </w:r>
          </w:p>
        </w:tc>
        <w:tc>
          <w:tcPr>
            <w:tcW w:w="547" w:type="pct"/>
          </w:tcPr>
          <w:p w14:paraId="6A3AAC46" w14:textId="77777777" w:rsidR="0096347D" w:rsidRPr="005D26CA" w:rsidRDefault="0096347D" w:rsidP="0096347D">
            <w:pPr>
              <w:pStyle w:val="Tabletext"/>
            </w:pPr>
            <w:r>
              <w:t>ML</w:t>
            </w:r>
          </w:p>
        </w:tc>
        <w:tc>
          <w:tcPr>
            <w:tcW w:w="781" w:type="pct"/>
          </w:tcPr>
          <w:p w14:paraId="67EFF522" w14:textId="77777777" w:rsidR="0096347D" w:rsidRDefault="0096347D" w:rsidP="0096347D">
            <w:pPr>
              <w:pStyle w:val="Tabletext"/>
            </w:pPr>
            <w:r>
              <w:t>2002–03 to 2015–16</w:t>
            </w:r>
          </w:p>
        </w:tc>
        <w:tc>
          <w:tcPr>
            <w:tcW w:w="937" w:type="pct"/>
          </w:tcPr>
          <w:p w14:paraId="7B9C1548" w14:textId="77777777" w:rsidR="0096347D" w:rsidRPr="005D26CA" w:rsidRDefault="0096347D" w:rsidP="0096347D">
            <w:pPr>
              <w:pStyle w:val="Tabletext"/>
            </w:pPr>
            <w:r>
              <w:t>MDBA</w:t>
            </w:r>
          </w:p>
        </w:tc>
      </w:tr>
      <w:tr w:rsidR="0096347D" w14:paraId="4089DA58" w14:textId="77777777" w:rsidTr="00AE77A4">
        <w:tc>
          <w:tcPr>
            <w:tcW w:w="1250" w:type="pct"/>
          </w:tcPr>
          <w:p w14:paraId="6B86DFAC" w14:textId="77777777" w:rsidR="0096347D" w:rsidRPr="005D26CA" w:rsidRDefault="0096347D" w:rsidP="0096347D">
            <w:pPr>
              <w:pStyle w:val="Tabletext"/>
            </w:pPr>
            <w:r w:rsidRPr="005D26CA">
              <w:t>Water allocation price</w:t>
            </w:r>
          </w:p>
        </w:tc>
        <w:tc>
          <w:tcPr>
            <w:tcW w:w="1485" w:type="pct"/>
          </w:tcPr>
          <w:p w14:paraId="303FAFB0" w14:textId="77777777" w:rsidR="0096347D" w:rsidRPr="005D26CA" w:rsidRDefault="0096347D" w:rsidP="0096347D">
            <w:pPr>
              <w:pStyle w:val="Tabletext"/>
            </w:pPr>
            <w:r>
              <w:t>Allocation trade prices by region and year</w:t>
            </w:r>
          </w:p>
        </w:tc>
        <w:tc>
          <w:tcPr>
            <w:tcW w:w="547" w:type="pct"/>
          </w:tcPr>
          <w:p w14:paraId="1643C37D" w14:textId="77777777" w:rsidR="0096347D" w:rsidRPr="005D26CA" w:rsidRDefault="0096347D" w:rsidP="0096347D">
            <w:pPr>
              <w:pStyle w:val="Tabletext"/>
            </w:pPr>
            <w:r>
              <w:t>$/ML</w:t>
            </w:r>
          </w:p>
        </w:tc>
        <w:tc>
          <w:tcPr>
            <w:tcW w:w="781" w:type="pct"/>
          </w:tcPr>
          <w:p w14:paraId="40AF5000" w14:textId="6EA26423" w:rsidR="0096347D" w:rsidRPr="005D26CA" w:rsidRDefault="0096347D" w:rsidP="0096347D">
            <w:pPr>
              <w:pStyle w:val="Tabletext"/>
            </w:pPr>
            <w:r>
              <w:t xml:space="preserve">2002–03 to </w:t>
            </w:r>
            <w:r w:rsidR="00802327">
              <w:t>2016–17</w:t>
            </w:r>
          </w:p>
        </w:tc>
        <w:tc>
          <w:tcPr>
            <w:tcW w:w="937" w:type="pct"/>
          </w:tcPr>
          <w:p w14:paraId="209CF5AE" w14:textId="77777777" w:rsidR="0096347D" w:rsidRPr="005D26CA" w:rsidRDefault="0096347D" w:rsidP="0096347D">
            <w:pPr>
              <w:pStyle w:val="Tabletext"/>
            </w:pPr>
            <w:r w:rsidRPr="005D26CA">
              <w:t>State water registries/ water exchanges</w:t>
            </w:r>
          </w:p>
        </w:tc>
      </w:tr>
      <w:tr w:rsidR="0096347D" w14:paraId="21256EE5" w14:textId="77777777" w:rsidTr="00AE77A4">
        <w:tc>
          <w:tcPr>
            <w:tcW w:w="1250" w:type="pct"/>
          </w:tcPr>
          <w:p w14:paraId="038A3C69" w14:textId="77777777" w:rsidR="0096347D" w:rsidRPr="005D26CA" w:rsidRDefault="0096347D" w:rsidP="0096347D">
            <w:pPr>
              <w:pStyle w:val="Tabletext"/>
            </w:pPr>
            <w:r w:rsidRPr="005D26CA">
              <w:t>Water use</w:t>
            </w:r>
          </w:p>
        </w:tc>
        <w:tc>
          <w:tcPr>
            <w:tcW w:w="1485" w:type="pct"/>
          </w:tcPr>
          <w:p w14:paraId="693C44D6" w14:textId="77777777" w:rsidR="0096347D" w:rsidRPr="005D26CA" w:rsidRDefault="0096347D" w:rsidP="0096347D">
            <w:pPr>
              <w:pStyle w:val="Tabletext"/>
            </w:pPr>
            <w:r>
              <w:t>Total water use</w:t>
            </w:r>
            <w:r w:rsidRPr="005D26CA">
              <w:t xml:space="preserve"> by region, industry and year</w:t>
            </w:r>
          </w:p>
        </w:tc>
        <w:tc>
          <w:tcPr>
            <w:tcW w:w="547" w:type="pct"/>
          </w:tcPr>
          <w:p w14:paraId="4829A487" w14:textId="77777777" w:rsidR="0096347D" w:rsidRPr="005D26CA" w:rsidRDefault="0096347D" w:rsidP="0096347D">
            <w:pPr>
              <w:pStyle w:val="Tabletext"/>
            </w:pPr>
            <w:r>
              <w:t>ML</w:t>
            </w:r>
          </w:p>
        </w:tc>
        <w:tc>
          <w:tcPr>
            <w:tcW w:w="781" w:type="pct"/>
          </w:tcPr>
          <w:p w14:paraId="0099A045" w14:textId="7226533B" w:rsidR="0096347D" w:rsidRDefault="00802327" w:rsidP="0096347D">
            <w:pPr>
              <w:pStyle w:val="Tabletext"/>
            </w:pPr>
            <w:r>
              <w:t>2005–06 to 2015–16</w:t>
            </w:r>
          </w:p>
        </w:tc>
        <w:tc>
          <w:tcPr>
            <w:tcW w:w="937" w:type="pct"/>
          </w:tcPr>
          <w:p w14:paraId="20A626A6" w14:textId="77777777" w:rsidR="0096347D" w:rsidRDefault="0096347D" w:rsidP="0096347D">
            <w:pPr>
              <w:pStyle w:val="Tabletext"/>
            </w:pPr>
            <w:r>
              <w:t>ABS</w:t>
            </w:r>
          </w:p>
        </w:tc>
      </w:tr>
      <w:tr w:rsidR="0096347D" w14:paraId="3877C2E4" w14:textId="77777777" w:rsidTr="00AE77A4">
        <w:tc>
          <w:tcPr>
            <w:tcW w:w="1250" w:type="pct"/>
          </w:tcPr>
          <w:p w14:paraId="341C1C33" w14:textId="77777777" w:rsidR="0096347D" w:rsidRPr="005D26CA" w:rsidRDefault="0096347D" w:rsidP="0096347D">
            <w:pPr>
              <w:pStyle w:val="Tabletext"/>
            </w:pPr>
            <w:r w:rsidRPr="005D26CA">
              <w:t>Land use</w:t>
            </w:r>
          </w:p>
        </w:tc>
        <w:tc>
          <w:tcPr>
            <w:tcW w:w="1485" w:type="pct"/>
          </w:tcPr>
          <w:p w14:paraId="357299EC" w14:textId="77777777" w:rsidR="0096347D" w:rsidRPr="005D26CA" w:rsidRDefault="0096347D" w:rsidP="0096347D">
            <w:pPr>
              <w:pStyle w:val="Tabletext"/>
            </w:pPr>
            <w:r>
              <w:t xml:space="preserve">Total land use </w:t>
            </w:r>
            <w:r w:rsidRPr="005D26CA">
              <w:t>by region, industry and year</w:t>
            </w:r>
          </w:p>
        </w:tc>
        <w:tc>
          <w:tcPr>
            <w:tcW w:w="547" w:type="pct"/>
          </w:tcPr>
          <w:p w14:paraId="0887B636" w14:textId="77777777" w:rsidR="0096347D" w:rsidRPr="005D26CA" w:rsidRDefault="0096347D" w:rsidP="0096347D">
            <w:pPr>
              <w:pStyle w:val="Tabletext"/>
            </w:pPr>
            <w:r>
              <w:t>HA</w:t>
            </w:r>
          </w:p>
        </w:tc>
        <w:tc>
          <w:tcPr>
            <w:tcW w:w="781" w:type="pct"/>
          </w:tcPr>
          <w:p w14:paraId="5965EBB7" w14:textId="14B8BC5B" w:rsidR="0096347D" w:rsidRDefault="00802327" w:rsidP="0096347D">
            <w:pPr>
              <w:pStyle w:val="Tabletext"/>
            </w:pPr>
            <w:r>
              <w:t>2005–06 to 2015–16</w:t>
            </w:r>
          </w:p>
        </w:tc>
        <w:tc>
          <w:tcPr>
            <w:tcW w:w="937" w:type="pct"/>
          </w:tcPr>
          <w:p w14:paraId="3610AADD" w14:textId="77777777" w:rsidR="0096347D" w:rsidRPr="005D26CA" w:rsidRDefault="0096347D" w:rsidP="0096347D">
            <w:pPr>
              <w:pStyle w:val="Tabletext"/>
            </w:pPr>
            <w:r>
              <w:t>ABS</w:t>
            </w:r>
          </w:p>
        </w:tc>
      </w:tr>
      <w:tr w:rsidR="0096347D" w14:paraId="58207155" w14:textId="77777777" w:rsidTr="00AE77A4">
        <w:tc>
          <w:tcPr>
            <w:tcW w:w="1250" w:type="pct"/>
          </w:tcPr>
          <w:p w14:paraId="657C802A" w14:textId="77777777" w:rsidR="0096347D" w:rsidRPr="005D26CA" w:rsidRDefault="0096347D" w:rsidP="0096347D">
            <w:pPr>
              <w:pStyle w:val="Tabletext"/>
            </w:pPr>
            <w:r w:rsidRPr="005D26CA">
              <w:t>Commodity prices</w:t>
            </w:r>
          </w:p>
        </w:tc>
        <w:tc>
          <w:tcPr>
            <w:tcW w:w="1485" w:type="pct"/>
          </w:tcPr>
          <w:p w14:paraId="744DB534" w14:textId="77777777" w:rsidR="0096347D" w:rsidRPr="005D26CA" w:rsidRDefault="0096347D" w:rsidP="0096347D">
            <w:pPr>
              <w:pStyle w:val="Tabletext"/>
            </w:pPr>
            <w:r>
              <w:t xml:space="preserve">Gross unit value or price indices for activities </w:t>
            </w:r>
            <w:r w:rsidRPr="005D26CA">
              <w:t>by industry and year</w:t>
            </w:r>
          </w:p>
        </w:tc>
        <w:tc>
          <w:tcPr>
            <w:tcW w:w="547" w:type="pct"/>
          </w:tcPr>
          <w:p w14:paraId="642D85F2" w14:textId="77777777" w:rsidR="0096347D" w:rsidRPr="005D26CA" w:rsidRDefault="0096347D" w:rsidP="0096347D">
            <w:pPr>
              <w:pStyle w:val="Tabletext"/>
            </w:pPr>
            <w:r>
              <w:t xml:space="preserve">$/ton </w:t>
            </w:r>
            <w:r w:rsidRPr="005D26CA">
              <w:rPr>
                <w:rStyle w:val="Italic"/>
              </w:rPr>
              <w:t>or</w:t>
            </w:r>
            <w:r w:rsidRPr="005D26CA">
              <w:t xml:space="preserve"> indexed value</w:t>
            </w:r>
          </w:p>
        </w:tc>
        <w:tc>
          <w:tcPr>
            <w:tcW w:w="781" w:type="pct"/>
          </w:tcPr>
          <w:p w14:paraId="41789112" w14:textId="48BB6E87" w:rsidR="0096347D" w:rsidRDefault="0096347D" w:rsidP="0096347D">
            <w:pPr>
              <w:pStyle w:val="Tabletext"/>
            </w:pPr>
            <w:r>
              <w:t xml:space="preserve">2002–03 to </w:t>
            </w:r>
            <w:r w:rsidR="00802327">
              <w:t>2016–17</w:t>
            </w:r>
          </w:p>
        </w:tc>
        <w:tc>
          <w:tcPr>
            <w:tcW w:w="937" w:type="pct"/>
          </w:tcPr>
          <w:p w14:paraId="4962388E" w14:textId="77777777" w:rsidR="0096347D" w:rsidRPr="005D26CA" w:rsidRDefault="0096347D" w:rsidP="0096347D">
            <w:pPr>
              <w:pStyle w:val="Tabletext"/>
            </w:pPr>
            <w:r>
              <w:t>ABARES</w:t>
            </w:r>
          </w:p>
        </w:tc>
      </w:tr>
      <w:tr w:rsidR="0096347D" w14:paraId="31D3B37D" w14:textId="77777777" w:rsidTr="00AE77A4">
        <w:tc>
          <w:tcPr>
            <w:tcW w:w="1250" w:type="pct"/>
          </w:tcPr>
          <w:p w14:paraId="6FA8AA3C" w14:textId="77777777" w:rsidR="0096347D" w:rsidRPr="005D26CA" w:rsidRDefault="0096347D" w:rsidP="0096347D">
            <w:pPr>
              <w:pStyle w:val="Tabletext"/>
            </w:pPr>
            <w:r w:rsidRPr="005D26CA">
              <w:t>Non allocation water use</w:t>
            </w:r>
          </w:p>
        </w:tc>
        <w:tc>
          <w:tcPr>
            <w:tcW w:w="1485" w:type="pct"/>
          </w:tcPr>
          <w:p w14:paraId="3497B044" w14:textId="77777777" w:rsidR="0096347D" w:rsidRPr="005D26CA" w:rsidRDefault="0096347D" w:rsidP="0096347D">
            <w:pPr>
              <w:pStyle w:val="Tabletext"/>
            </w:pPr>
            <w:r>
              <w:t>P</w:t>
            </w:r>
            <w:r w:rsidRPr="005D26CA">
              <w:t>rimarily groundwater and unregulated surface water use by region and year</w:t>
            </w:r>
          </w:p>
        </w:tc>
        <w:tc>
          <w:tcPr>
            <w:tcW w:w="547" w:type="pct"/>
          </w:tcPr>
          <w:p w14:paraId="3A51ECE8" w14:textId="77777777" w:rsidR="0096347D" w:rsidRPr="005D26CA" w:rsidRDefault="0096347D" w:rsidP="0096347D">
            <w:pPr>
              <w:pStyle w:val="Tabletext"/>
            </w:pPr>
            <w:r>
              <w:t>ML</w:t>
            </w:r>
          </w:p>
        </w:tc>
        <w:tc>
          <w:tcPr>
            <w:tcW w:w="781" w:type="pct"/>
          </w:tcPr>
          <w:p w14:paraId="73FA4FB4" w14:textId="77777777" w:rsidR="0096347D" w:rsidRDefault="0096347D" w:rsidP="0096347D">
            <w:pPr>
              <w:pStyle w:val="Tabletext"/>
            </w:pPr>
            <w:r>
              <w:t>2002–03 to 2015–16</w:t>
            </w:r>
          </w:p>
        </w:tc>
        <w:tc>
          <w:tcPr>
            <w:tcW w:w="937" w:type="pct"/>
          </w:tcPr>
          <w:p w14:paraId="64D09AE8" w14:textId="77777777" w:rsidR="0096347D" w:rsidRPr="005D26CA" w:rsidRDefault="0096347D" w:rsidP="0096347D">
            <w:pPr>
              <w:pStyle w:val="Tabletext"/>
            </w:pPr>
            <w:r>
              <w:t>ABS</w:t>
            </w:r>
          </w:p>
        </w:tc>
      </w:tr>
    </w:tbl>
    <w:p w14:paraId="219989E5" w14:textId="77777777" w:rsidR="0096347D" w:rsidRPr="00104BDD" w:rsidRDefault="0096347D" w:rsidP="00104BDD">
      <w:pPr>
        <w:pStyle w:val="BodyText1"/>
      </w:pPr>
    </w:p>
    <w:p w14:paraId="1A4BD49C" w14:textId="77777777" w:rsidR="00104BDD" w:rsidRDefault="00104BDD" w:rsidP="00104BDD">
      <w:pPr>
        <w:pStyle w:val="Heading2"/>
      </w:pPr>
      <w:bookmarkStart w:id="118" w:name="_Toc486527106"/>
      <w:bookmarkStart w:id="119" w:name="_Toc505345878"/>
      <w:r>
        <w:t>Rainfall</w:t>
      </w:r>
      <w:bookmarkEnd w:id="118"/>
      <w:bookmarkEnd w:id="119"/>
    </w:p>
    <w:p w14:paraId="6A2823E9" w14:textId="77777777" w:rsidR="00104BDD" w:rsidRDefault="00104BDD" w:rsidP="00104BDD">
      <w:pPr>
        <w:pStyle w:val="BodyText1"/>
      </w:pPr>
      <w:r>
        <w:t xml:space="preserve">Rainfall estimates are based on average annual rainfall (in millimetres) across national land use and management (NLUM) and catchment-scale land use (CLUM) irrigated areas in each region in the water trade model. </w:t>
      </w:r>
      <w:r w:rsidR="003141BF">
        <w:fldChar w:fldCharType="begin"/>
      </w:r>
      <w:r w:rsidR="003141BF">
        <w:instrText xml:space="preserve"> REF _Ref493084007 \h </w:instrText>
      </w:r>
      <w:r w:rsidR="003141BF">
        <w:fldChar w:fldCharType="separate"/>
      </w:r>
      <w:r w:rsidR="00F709AB">
        <w:t>Figure A</w:t>
      </w:r>
      <w:r w:rsidR="00F709AB">
        <w:rPr>
          <w:noProof/>
        </w:rPr>
        <w:t>1</w:t>
      </w:r>
      <w:r w:rsidR="003141BF">
        <w:fldChar w:fldCharType="end"/>
      </w:r>
      <w:r w:rsidR="003141BF">
        <w:t xml:space="preserve"> </w:t>
      </w:r>
      <w:r>
        <w:t>shows the average rainfall index (based on irrigated area in each region) across the entire sMDB. The drought years in the sMDB are 2001–02, 2002–03, 2005–06, 2006–07, 2007–08 and 2008–09. The wet years are 2010–11 and 2011–12, which also led to higher storage volumes and allocation announcements in 2012–13 and 2013–14, despite relatively lower rainfall.</w:t>
      </w:r>
    </w:p>
    <w:p w14:paraId="20F6872D" w14:textId="77777777" w:rsidR="00104BDD" w:rsidRPr="005D26CA" w:rsidRDefault="00104BDD" w:rsidP="00104BDD">
      <w:pPr>
        <w:pStyle w:val="Heading4"/>
        <w:rPr>
          <w:rStyle w:val="Bold"/>
          <w:b/>
        </w:rPr>
      </w:pPr>
      <w:r w:rsidRPr="00315671">
        <w:rPr>
          <w:rStyle w:val="Bold"/>
          <w:b/>
        </w:rPr>
        <w:t>Notes on c</w:t>
      </w:r>
      <w:r w:rsidRPr="005D26CA">
        <w:rPr>
          <w:rStyle w:val="Bold"/>
          <w:b/>
        </w:rPr>
        <w:t>onstruction</w:t>
      </w:r>
    </w:p>
    <w:p w14:paraId="2CAC818C" w14:textId="77777777" w:rsidR="00104BDD" w:rsidRPr="00802327" w:rsidRDefault="00104BDD" w:rsidP="00802327">
      <w:pPr>
        <w:pStyle w:val="Bulletlist-level1"/>
        <w:numPr>
          <w:ilvl w:val="0"/>
          <w:numId w:val="16"/>
        </w:numPr>
        <w:rPr>
          <w:rStyle w:val="Dummytext"/>
          <w:color w:val="000000"/>
          <w:shd w:val="clear" w:color="auto" w:fill="auto"/>
        </w:rPr>
      </w:pPr>
      <w:r w:rsidRPr="00802327">
        <w:rPr>
          <w:rStyle w:val="Dummytext"/>
          <w:color w:val="000000"/>
          <w:shd w:val="clear" w:color="auto" w:fill="auto"/>
        </w:rPr>
        <w:t>The irrigated areas are defined as those 5 kilometre grid cells where at least 10 per cent of the cell contained irrigated land use in at least one of the NLUM (2000–01, 2005–06 or 2010–11) or 2015–16 CLUM areas. The concordance between rainfall, irrigated area and water regions is shown for 2015–16 in</w:t>
      </w:r>
      <w:r w:rsidR="003141BF" w:rsidRPr="00802327">
        <w:rPr>
          <w:rStyle w:val="Dummytext"/>
          <w:color w:val="000000"/>
          <w:shd w:val="clear" w:color="auto" w:fill="auto"/>
        </w:rPr>
        <w:t xml:space="preserve"> Map A1</w:t>
      </w:r>
      <w:r w:rsidRPr="00802327">
        <w:rPr>
          <w:rStyle w:val="Dummytext"/>
          <w:color w:val="000000"/>
          <w:shd w:val="clear" w:color="auto" w:fill="auto"/>
        </w:rPr>
        <w:t xml:space="preserve">. </w:t>
      </w:r>
    </w:p>
    <w:p w14:paraId="70F2942D" w14:textId="77777777" w:rsidR="00104BDD" w:rsidRDefault="00104BDD" w:rsidP="00104BDD">
      <w:pPr>
        <w:pStyle w:val="Heading4"/>
      </w:pPr>
      <w:r>
        <w:lastRenderedPageBreak/>
        <w:t>Sources</w:t>
      </w:r>
    </w:p>
    <w:p w14:paraId="252B64A8" w14:textId="77777777" w:rsidR="00104BDD" w:rsidRPr="007E217A" w:rsidRDefault="00104BDD" w:rsidP="00C67DD0">
      <w:pPr>
        <w:pStyle w:val="Bulletlist-level1"/>
        <w:numPr>
          <w:ilvl w:val="0"/>
          <w:numId w:val="16"/>
        </w:numPr>
        <w:rPr>
          <w:rStyle w:val="Dummytext"/>
          <w:color w:val="000000"/>
          <w:shd w:val="clear" w:color="auto" w:fill="auto"/>
        </w:rPr>
      </w:pPr>
      <w:r w:rsidRPr="007E217A">
        <w:rPr>
          <w:rStyle w:val="Dummytext"/>
          <w:color w:val="000000"/>
          <w:shd w:val="clear" w:color="auto" w:fill="auto"/>
        </w:rPr>
        <w:t xml:space="preserve">Rainfall data available from the </w:t>
      </w:r>
      <w:hyperlink r:id="rId60" w:history="1">
        <w:r w:rsidRPr="007E217A">
          <w:rPr>
            <w:rStyle w:val="Dummytext"/>
            <w:color w:val="000000"/>
            <w:shd w:val="clear" w:color="auto" w:fill="auto"/>
          </w:rPr>
          <w:t>Bureau of Meteorology</w:t>
        </w:r>
        <w:r>
          <w:rPr>
            <w:rStyle w:val="Dummytext"/>
            <w:color w:val="000000"/>
            <w:shd w:val="clear" w:color="auto" w:fill="auto"/>
          </w:rPr>
          <w:t>’s</w:t>
        </w:r>
        <w:r w:rsidRPr="007E217A">
          <w:rPr>
            <w:rStyle w:val="Dummytext"/>
            <w:color w:val="000000"/>
            <w:shd w:val="clear" w:color="auto" w:fill="auto"/>
          </w:rPr>
          <w:t xml:space="preserve"> latest rainfall maps</w:t>
        </w:r>
      </w:hyperlink>
      <w:r>
        <w:rPr>
          <w:rStyle w:val="Dummytext"/>
          <w:color w:val="000000"/>
          <w:shd w:val="clear" w:color="auto" w:fill="auto"/>
        </w:rPr>
        <w:t xml:space="preserve"> (BOM 2017).</w:t>
      </w:r>
    </w:p>
    <w:p w14:paraId="0CC14080" w14:textId="77777777" w:rsidR="00104BDD" w:rsidRPr="007E217A" w:rsidRDefault="00104BDD" w:rsidP="00C67DD0">
      <w:pPr>
        <w:pStyle w:val="Bulletlist-level1"/>
        <w:numPr>
          <w:ilvl w:val="0"/>
          <w:numId w:val="16"/>
        </w:numPr>
        <w:rPr>
          <w:rStyle w:val="Dummytext"/>
          <w:color w:val="000000"/>
          <w:shd w:val="clear" w:color="auto" w:fill="auto"/>
        </w:rPr>
      </w:pPr>
      <w:r w:rsidRPr="007E217A">
        <w:rPr>
          <w:rStyle w:val="Dummytext"/>
          <w:color w:val="000000"/>
          <w:shd w:val="clear" w:color="auto" w:fill="auto"/>
        </w:rPr>
        <w:t xml:space="preserve">NLUM/CLUM data available from </w:t>
      </w:r>
      <w:hyperlink r:id="rId61" w:history="1">
        <w:r w:rsidRPr="007E217A">
          <w:rPr>
            <w:rStyle w:val="Dummytext"/>
            <w:color w:val="000000"/>
            <w:shd w:val="clear" w:color="auto" w:fill="auto"/>
          </w:rPr>
          <w:t>ABARES land use data page</w:t>
        </w:r>
      </w:hyperlink>
      <w:r>
        <w:rPr>
          <w:rStyle w:val="Dummytext"/>
          <w:color w:val="000000"/>
          <w:shd w:val="clear" w:color="auto" w:fill="auto"/>
        </w:rPr>
        <w:t xml:space="preserve"> (ABARES 2016a)</w:t>
      </w:r>
      <w:r w:rsidRPr="007E217A">
        <w:rPr>
          <w:rStyle w:val="Dummytext"/>
          <w:color w:val="000000"/>
          <w:shd w:val="clear" w:color="auto" w:fill="auto"/>
        </w:rPr>
        <w:t>.</w:t>
      </w:r>
    </w:p>
    <w:p w14:paraId="6CD41C34" w14:textId="77777777" w:rsidR="00104BDD" w:rsidRDefault="00104BDD" w:rsidP="00C67DD0">
      <w:pPr>
        <w:pStyle w:val="Bulletlist-level1"/>
        <w:numPr>
          <w:ilvl w:val="0"/>
          <w:numId w:val="16"/>
        </w:numPr>
      </w:pPr>
      <w:r w:rsidRPr="003F3F1B">
        <w:t xml:space="preserve">ABARES water regions based on </w:t>
      </w:r>
      <w:r w:rsidRPr="000F1140">
        <w:t>CSIRO Murray-Darling Basin Sustainable Yields Project</w:t>
      </w:r>
      <w:r>
        <w:t xml:space="preserve"> boundaries (CSIRO 2008),</w:t>
      </w:r>
      <w:r w:rsidRPr="003F3F1B">
        <w:t xml:space="preserve"> adjusted for trade rules and the Barmah Choke (available on request).</w:t>
      </w:r>
    </w:p>
    <w:p w14:paraId="204AEF74" w14:textId="77777777" w:rsidR="00104BDD" w:rsidRDefault="00104BDD" w:rsidP="00104BDD">
      <w:pPr>
        <w:pStyle w:val="Caption"/>
      </w:pPr>
      <w:bookmarkStart w:id="120" w:name="_Ref486528934"/>
      <w:bookmarkStart w:id="121" w:name="_Ref493084007"/>
      <w:bookmarkStart w:id="122" w:name="_Toc505345918"/>
      <w:r>
        <w:t xml:space="preserve">Figure </w:t>
      </w:r>
      <w:bookmarkEnd w:id="120"/>
      <w:r w:rsidR="003141BF">
        <w:t>A</w:t>
      </w:r>
      <w:fldSimple w:instr=" SEQ Figure \* ARABIC\r1 ">
        <w:r w:rsidR="00F709AB">
          <w:rPr>
            <w:noProof/>
          </w:rPr>
          <w:t>1</w:t>
        </w:r>
      </w:fldSimple>
      <w:bookmarkEnd w:id="121"/>
      <w:r>
        <w:t xml:space="preserve"> Average rainfall index across the sMDB, 2000–01 to 2015–16</w:t>
      </w:r>
      <w:bookmarkEnd w:id="122"/>
    </w:p>
    <w:p w14:paraId="75D0F2A7" w14:textId="681D538B" w:rsidR="00104BDD" w:rsidRDefault="00A32F8E" w:rsidP="00777422">
      <w:pPr>
        <w:pStyle w:val="Notesourcetext"/>
      </w:pPr>
      <w:r w:rsidRPr="00A32F8E">
        <w:rPr>
          <w:noProof/>
          <w:lang w:eastAsia="en-AU"/>
        </w:rPr>
        <w:drawing>
          <wp:inline distT="0" distB="0" distL="0" distR="0" wp14:anchorId="39ECE0F5" wp14:editId="7A08F476">
            <wp:extent cx="3479328" cy="2556000"/>
            <wp:effectExtent l="0" t="0" r="6985" b="0"/>
            <wp:docPr id="27" name="Picture 27" descr="\\Act001cl06fs02\abares_data$\ProductivityAndWaterAndSocial\Water\_Projects\2016-08_Water_trade_model\_InProgress\images\scen_8_charts_revised\Scenario_8_rainfall_inde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001cl06fs02\abares_data$\ProductivityAndWaterAndSocial\Water\_Projects\2016-08_Water_trade_model\_InProgress\images\scen_8_charts_revised\Scenario_8_rainfall_indexb.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79328" cy="2556000"/>
                    </a:xfrm>
                    <a:prstGeom prst="rect">
                      <a:avLst/>
                    </a:prstGeom>
                    <a:noFill/>
                    <a:ln>
                      <a:noFill/>
                    </a:ln>
                  </pic:spPr>
                </pic:pic>
              </a:graphicData>
            </a:graphic>
          </wp:inline>
        </w:drawing>
      </w:r>
      <w:r w:rsidR="00104BDD">
        <w:br/>
      </w:r>
    </w:p>
    <w:p w14:paraId="6BF9F5BD" w14:textId="77777777" w:rsidR="00104BDD" w:rsidRDefault="00104BDD" w:rsidP="00104BDD">
      <w:pPr>
        <w:pStyle w:val="Caption"/>
      </w:pPr>
      <w:bookmarkStart w:id="123" w:name="_Ref484429276"/>
      <w:bookmarkStart w:id="124" w:name="_Toc505345920"/>
      <w:r>
        <w:t xml:space="preserve">Map </w:t>
      </w:r>
      <w:bookmarkEnd w:id="123"/>
      <w:r w:rsidR="003141BF">
        <w:t>A</w:t>
      </w:r>
      <w:fldSimple w:instr=" SEQ Map \* ARABIC\r1 ">
        <w:r w:rsidR="00F709AB">
          <w:rPr>
            <w:noProof/>
          </w:rPr>
          <w:t>1</w:t>
        </w:r>
      </w:fldSimple>
      <w:r>
        <w:t xml:space="preserve"> Rainfall, irrigated areas and water regions, 2015–16</w:t>
      </w:r>
      <w:bookmarkEnd w:id="124"/>
    </w:p>
    <w:p w14:paraId="6F554446" w14:textId="77777777" w:rsidR="00104BDD" w:rsidRDefault="00104BDD" w:rsidP="00104BDD">
      <w:r>
        <w:rPr>
          <w:noProof/>
          <w:lang w:eastAsia="en-AU"/>
        </w:rPr>
        <w:drawing>
          <wp:inline distT="0" distB="0" distL="0" distR="0" wp14:anchorId="1B6138F3" wp14:editId="7BD28782">
            <wp:extent cx="4134260" cy="3864634"/>
            <wp:effectExtent l="0" t="0" r="0" b="2540"/>
            <wp:docPr id="1" name="Picture 1" descr="rainfal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fall ma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49784" cy="3879145"/>
                    </a:xfrm>
                    <a:prstGeom prst="rect">
                      <a:avLst/>
                    </a:prstGeom>
                    <a:noFill/>
                    <a:ln>
                      <a:noFill/>
                    </a:ln>
                  </pic:spPr>
                </pic:pic>
              </a:graphicData>
            </a:graphic>
          </wp:inline>
        </w:drawing>
      </w:r>
    </w:p>
    <w:p w14:paraId="352931EF" w14:textId="77777777" w:rsidR="00104BDD" w:rsidRPr="00312CC3" w:rsidRDefault="00104BDD" w:rsidP="00104BDD">
      <w:pPr>
        <w:pStyle w:val="Heading2"/>
      </w:pPr>
      <w:bookmarkStart w:id="125" w:name="_Toc486527107"/>
      <w:bookmarkStart w:id="126" w:name="_Toc505345879"/>
      <w:r w:rsidRPr="00312CC3">
        <w:lastRenderedPageBreak/>
        <w:t>Allocations and carryover</w:t>
      </w:r>
      <w:bookmarkEnd w:id="125"/>
      <w:bookmarkEnd w:id="126"/>
    </w:p>
    <w:p w14:paraId="086D6516" w14:textId="7B074F9F" w:rsidR="00104BDD" w:rsidRDefault="00104BDD" w:rsidP="00104BDD">
      <w:r w:rsidRPr="00312CC3">
        <w:t xml:space="preserve">The </w:t>
      </w:r>
      <w:r>
        <w:t>allocations dataset used for this report was previously prepared for</w:t>
      </w:r>
      <w:r w:rsidRPr="00312CC3">
        <w:t xml:space="preserve"> </w:t>
      </w:r>
      <w:r>
        <w:t xml:space="preserve">Hughes, Gupta &amp; Rathakumar (2016) on a daily time step </w:t>
      </w:r>
      <w:r w:rsidR="00802327">
        <w:t>from 1 July 2000 to 30 June 2017</w:t>
      </w:r>
      <w:r>
        <w:t xml:space="preserve">. </w:t>
      </w:r>
    </w:p>
    <w:p w14:paraId="593AF570" w14:textId="77777777" w:rsidR="00104BDD" w:rsidRPr="002C128A" w:rsidRDefault="00104BDD" w:rsidP="00104BDD">
      <w:pPr>
        <w:pStyle w:val="Heading4"/>
      </w:pPr>
      <w:r>
        <w:t>Data for the Barmah Choke</w:t>
      </w:r>
    </w:p>
    <w:p w14:paraId="45E6BE33" w14:textId="77777777" w:rsidR="00104BDD" w:rsidRDefault="00104BDD" w:rsidP="00104BDD">
      <w:pPr>
        <w:pStyle w:val="Bulletlist-level1"/>
        <w:numPr>
          <w:ilvl w:val="0"/>
          <w:numId w:val="0"/>
        </w:numPr>
      </w:pPr>
      <w:r>
        <w:rPr>
          <w:rStyle w:val="Dummytext"/>
          <w:color w:val="000000"/>
          <w:shd w:val="clear" w:color="auto" w:fill="auto"/>
        </w:rPr>
        <w:t xml:space="preserve">Entitlement volumes and environmental purchases </w:t>
      </w:r>
      <w:r w:rsidRPr="00814869">
        <w:rPr>
          <w:rStyle w:val="Dummytext"/>
          <w:color w:val="000000"/>
          <w:shd w:val="clear" w:color="auto" w:fill="auto"/>
        </w:rPr>
        <w:t xml:space="preserve">for </w:t>
      </w:r>
      <w:r>
        <w:rPr>
          <w:rStyle w:val="Dummytext"/>
          <w:color w:val="000000"/>
          <w:shd w:val="clear" w:color="auto" w:fill="auto"/>
        </w:rPr>
        <w:t>th</w:t>
      </w:r>
      <w:r w:rsidRPr="00814869">
        <w:rPr>
          <w:rStyle w:val="Dummytext"/>
          <w:color w:val="000000"/>
          <w:shd w:val="clear" w:color="auto" w:fill="auto"/>
        </w:rPr>
        <w:t>e NSW Murray</w:t>
      </w:r>
      <w:r w:rsidRPr="002C128A">
        <w:t xml:space="preserve"> and </w:t>
      </w:r>
      <w:r>
        <w:t>VIC</w:t>
      </w:r>
      <w:r w:rsidRPr="002C128A">
        <w:t xml:space="preserve"> Murray regions </w:t>
      </w:r>
      <w:r>
        <w:rPr>
          <w:rStyle w:val="Dummytext"/>
          <w:color w:val="000000"/>
          <w:shd w:val="clear" w:color="auto" w:fill="auto"/>
        </w:rPr>
        <w:t>are</w:t>
      </w:r>
      <w:r w:rsidRPr="00814869">
        <w:rPr>
          <w:rStyle w:val="Dummytext"/>
          <w:color w:val="000000"/>
          <w:shd w:val="clear" w:color="auto" w:fill="auto"/>
        </w:rPr>
        <w:t xml:space="preserve"> apportioned above and below the Barmah </w:t>
      </w:r>
      <w:r w:rsidRPr="002C128A">
        <w:t xml:space="preserve">Choke </w:t>
      </w:r>
      <w:r>
        <w:t xml:space="preserve">using </w:t>
      </w:r>
      <w:r w:rsidRPr="002C128A">
        <w:t xml:space="preserve">the proportion of entitlements </w:t>
      </w:r>
      <w:r>
        <w:t>on issue (</w:t>
      </w:r>
      <w:r w:rsidR="0096347D">
        <w:fldChar w:fldCharType="begin"/>
      </w:r>
      <w:r w:rsidR="0096347D">
        <w:instrText xml:space="preserve"> REF _Ref493239941 \h </w:instrText>
      </w:r>
      <w:r w:rsidR="0096347D">
        <w:fldChar w:fldCharType="separate"/>
      </w:r>
      <w:r w:rsidR="00F709AB">
        <w:t>Table A</w:t>
      </w:r>
      <w:r w:rsidR="00F709AB">
        <w:rPr>
          <w:noProof/>
        </w:rPr>
        <w:t>2</w:t>
      </w:r>
      <w:r w:rsidR="0096347D">
        <w:fldChar w:fldCharType="end"/>
      </w:r>
      <w:r>
        <w:t>)</w:t>
      </w:r>
      <w:r w:rsidRPr="002C128A">
        <w:t>.</w:t>
      </w:r>
    </w:p>
    <w:p w14:paraId="401B95AD" w14:textId="77777777" w:rsidR="00104BDD" w:rsidRDefault="00104BDD" w:rsidP="00104BDD">
      <w:pPr>
        <w:pStyle w:val="Caption"/>
      </w:pPr>
      <w:bookmarkStart w:id="127" w:name="_Ref486528611"/>
      <w:bookmarkStart w:id="128" w:name="_Ref493084076"/>
      <w:bookmarkStart w:id="129" w:name="_Ref493239941"/>
      <w:bookmarkStart w:id="130" w:name="_Toc491356906"/>
      <w:bookmarkStart w:id="131" w:name="_Toc505345903"/>
      <w:r>
        <w:t xml:space="preserve">Table </w:t>
      </w:r>
      <w:bookmarkEnd w:id="127"/>
      <w:r w:rsidR="003141BF">
        <w:t>A</w:t>
      </w:r>
      <w:bookmarkEnd w:id="128"/>
      <w:r w:rsidR="0096347D">
        <w:fldChar w:fldCharType="begin"/>
      </w:r>
      <w:r w:rsidR="0096347D">
        <w:instrText xml:space="preserve"> SEQ Table \* ARABIC </w:instrText>
      </w:r>
      <w:r w:rsidR="0096347D">
        <w:fldChar w:fldCharType="separate"/>
      </w:r>
      <w:r w:rsidR="00F709AB">
        <w:rPr>
          <w:noProof/>
        </w:rPr>
        <w:t>2</w:t>
      </w:r>
      <w:r w:rsidR="0096347D">
        <w:fldChar w:fldCharType="end"/>
      </w:r>
      <w:bookmarkEnd w:id="129"/>
      <w:r>
        <w:t xml:space="preserve"> Proportion of entitlements on issue above and below the Barmah choke, by type</w:t>
      </w:r>
      <w:bookmarkEnd w:id="130"/>
      <w:bookmarkEnd w:id="131"/>
    </w:p>
    <w:tbl>
      <w:tblPr>
        <w:tblW w:w="5160" w:type="dxa"/>
        <w:tblLook w:val="04A0" w:firstRow="1" w:lastRow="0" w:firstColumn="1" w:lastColumn="0" w:noHBand="0" w:noVBand="1"/>
      </w:tblPr>
      <w:tblGrid>
        <w:gridCol w:w="2740"/>
        <w:gridCol w:w="2420"/>
      </w:tblGrid>
      <w:tr w:rsidR="00104BDD" w:rsidRPr="00315671" w14:paraId="1176A047" w14:textId="77777777" w:rsidTr="0079654D">
        <w:trPr>
          <w:trHeight w:val="300"/>
        </w:trPr>
        <w:tc>
          <w:tcPr>
            <w:tcW w:w="2740" w:type="dxa"/>
            <w:tcBorders>
              <w:top w:val="single" w:sz="4" w:space="0" w:color="auto"/>
              <w:left w:val="nil"/>
              <w:bottom w:val="single" w:sz="4" w:space="0" w:color="auto"/>
              <w:right w:val="nil"/>
            </w:tcBorders>
            <w:shd w:val="clear" w:color="auto" w:fill="auto"/>
            <w:noWrap/>
            <w:vAlign w:val="bottom"/>
            <w:hideMark/>
          </w:tcPr>
          <w:p w14:paraId="7D49DDF1" w14:textId="77777777" w:rsidR="00104BDD" w:rsidRPr="002C128A" w:rsidRDefault="00104BDD" w:rsidP="0079654D">
            <w:pPr>
              <w:pStyle w:val="Tabletext"/>
              <w:rPr>
                <w:rStyle w:val="Bold"/>
              </w:rPr>
            </w:pPr>
            <w:r w:rsidRPr="002C128A">
              <w:rPr>
                <w:rStyle w:val="Bold"/>
              </w:rPr>
              <w:t>Entitlement type</w:t>
            </w:r>
          </w:p>
        </w:tc>
        <w:tc>
          <w:tcPr>
            <w:tcW w:w="2420" w:type="dxa"/>
            <w:tcBorders>
              <w:top w:val="single" w:sz="4" w:space="0" w:color="auto"/>
              <w:left w:val="nil"/>
              <w:bottom w:val="single" w:sz="4" w:space="0" w:color="auto"/>
              <w:right w:val="nil"/>
            </w:tcBorders>
            <w:shd w:val="clear" w:color="auto" w:fill="auto"/>
            <w:noWrap/>
            <w:vAlign w:val="bottom"/>
            <w:hideMark/>
          </w:tcPr>
          <w:p w14:paraId="15D46D6D" w14:textId="77777777" w:rsidR="00104BDD" w:rsidRPr="002C128A" w:rsidRDefault="00104BDD" w:rsidP="0079654D">
            <w:pPr>
              <w:pStyle w:val="Tabletext"/>
              <w:jc w:val="right"/>
              <w:rPr>
                <w:rStyle w:val="Bold"/>
              </w:rPr>
            </w:pPr>
            <w:r w:rsidRPr="002C128A">
              <w:rPr>
                <w:rStyle w:val="Bold"/>
              </w:rPr>
              <w:t>Proportion</w:t>
            </w:r>
          </w:p>
        </w:tc>
      </w:tr>
      <w:tr w:rsidR="00104BDD" w:rsidRPr="00315671" w14:paraId="069EB91C" w14:textId="77777777" w:rsidTr="0079654D">
        <w:trPr>
          <w:trHeight w:val="300"/>
        </w:trPr>
        <w:tc>
          <w:tcPr>
            <w:tcW w:w="2740" w:type="dxa"/>
            <w:tcBorders>
              <w:top w:val="single" w:sz="4" w:space="0" w:color="auto"/>
              <w:left w:val="nil"/>
              <w:bottom w:val="nil"/>
              <w:right w:val="nil"/>
            </w:tcBorders>
            <w:shd w:val="clear" w:color="auto" w:fill="auto"/>
            <w:noWrap/>
            <w:vAlign w:val="bottom"/>
            <w:hideMark/>
          </w:tcPr>
          <w:p w14:paraId="0EEF87AE" w14:textId="77777777" w:rsidR="00104BDD" w:rsidRPr="00315671" w:rsidRDefault="00104BDD" w:rsidP="0079654D">
            <w:pPr>
              <w:pStyle w:val="Tabletext"/>
              <w:rPr>
                <w:lang w:eastAsia="en-AU"/>
              </w:rPr>
            </w:pPr>
            <w:r w:rsidRPr="00315671">
              <w:rPr>
                <w:lang w:eastAsia="en-AU"/>
              </w:rPr>
              <w:t>NSW Murray Above General</w:t>
            </w:r>
          </w:p>
        </w:tc>
        <w:tc>
          <w:tcPr>
            <w:tcW w:w="2420" w:type="dxa"/>
            <w:tcBorders>
              <w:top w:val="single" w:sz="4" w:space="0" w:color="auto"/>
              <w:left w:val="nil"/>
              <w:bottom w:val="nil"/>
              <w:right w:val="nil"/>
            </w:tcBorders>
            <w:shd w:val="clear" w:color="auto" w:fill="auto"/>
            <w:noWrap/>
            <w:vAlign w:val="bottom"/>
            <w:hideMark/>
          </w:tcPr>
          <w:p w14:paraId="1634E76B" w14:textId="77777777" w:rsidR="00104BDD" w:rsidRPr="00315671" w:rsidRDefault="00104BDD" w:rsidP="0079654D">
            <w:pPr>
              <w:pStyle w:val="Tabletext"/>
              <w:jc w:val="right"/>
              <w:rPr>
                <w:lang w:eastAsia="en-AU"/>
              </w:rPr>
            </w:pPr>
            <w:r w:rsidRPr="00315671">
              <w:rPr>
                <w:lang w:eastAsia="en-AU"/>
              </w:rPr>
              <w:t>0.78</w:t>
            </w:r>
          </w:p>
        </w:tc>
      </w:tr>
      <w:tr w:rsidR="00104BDD" w:rsidRPr="00315671" w14:paraId="12054866" w14:textId="77777777" w:rsidTr="0079654D">
        <w:trPr>
          <w:trHeight w:val="300"/>
        </w:trPr>
        <w:tc>
          <w:tcPr>
            <w:tcW w:w="2740" w:type="dxa"/>
            <w:tcBorders>
              <w:top w:val="nil"/>
              <w:left w:val="nil"/>
              <w:bottom w:val="nil"/>
              <w:right w:val="nil"/>
            </w:tcBorders>
            <w:shd w:val="clear" w:color="auto" w:fill="auto"/>
            <w:noWrap/>
            <w:vAlign w:val="bottom"/>
            <w:hideMark/>
          </w:tcPr>
          <w:p w14:paraId="1230145B" w14:textId="77777777" w:rsidR="00104BDD" w:rsidRPr="00315671" w:rsidRDefault="00104BDD" w:rsidP="0079654D">
            <w:pPr>
              <w:pStyle w:val="Tabletext"/>
              <w:rPr>
                <w:lang w:eastAsia="en-AU"/>
              </w:rPr>
            </w:pPr>
            <w:r w:rsidRPr="00315671">
              <w:rPr>
                <w:lang w:eastAsia="en-AU"/>
              </w:rPr>
              <w:t>NSW Murray Below General</w:t>
            </w:r>
          </w:p>
        </w:tc>
        <w:tc>
          <w:tcPr>
            <w:tcW w:w="2420" w:type="dxa"/>
            <w:tcBorders>
              <w:top w:val="nil"/>
              <w:left w:val="nil"/>
              <w:bottom w:val="nil"/>
              <w:right w:val="nil"/>
            </w:tcBorders>
            <w:shd w:val="clear" w:color="auto" w:fill="auto"/>
            <w:noWrap/>
            <w:vAlign w:val="bottom"/>
            <w:hideMark/>
          </w:tcPr>
          <w:p w14:paraId="5989AED7" w14:textId="77777777" w:rsidR="00104BDD" w:rsidRPr="00315671" w:rsidRDefault="00104BDD" w:rsidP="0079654D">
            <w:pPr>
              <w:pStyle w:val="Tabletext"/>
              <w:jc w:val="right"/>
              <w:rPr>
                <w:lang w:eastAsia="en-AU"/>
              </w:rPr>
            </w:pPr>
            <w:r w:rsidRPr="00315671">
              <w:rPr>
                <w:lang w:eastAsia="en-AU"/>
              </w:rPr>
              <w:t>0.22</w:t>
            </w:r>
          </w:p>
        </w:tc>
      </w:tr>
      <w:tr w:rsidR="00104BDD" w:rsidRPr="00315671" w14:paraId="08BC949F" w14:textId="77777777" w:rsidTr="0079654D">
        <w:trPr>
          <w:trHeight w:val="300"/>
        </w:trPr>
        <w:tc>
          <w:tcPr>
            <w:tcW w:w="2740" w:type="dxa"/>
            <w:tcBorders>
              <w:top w:val="nil"/>
              <w:left w:val="nil"/>
              <w:bottom w:val="nil"/>
              <w:right w:val="nil"/>
            </w:tcBorders>
            <w:shd w:val="clear" w:color="auto" w:fill="auto"/>
            <w:noWrap/>
            <w:vAlign w:val="bottom"/>
            <w:hideMark/>
          </w:tcPr>
          <w:p w14:paraId="6FB71FCF" w14:textId="77777777" w:rsidR="00104BDD" w:rsidRPr="00315671" w:rsidRDefault="00104BDD" w:rsidP="0079654D">
            <w:pPr>
              <w:pStyle w:val="Tabletext"/>
              <w:rPr>
                <w:lang w:eastAsia="en-AU"/>
              </w:rPr>
            </w:pPr>
            <w:r w:rsidRPr="00315671">
              <w:rPr>
                <w:lang w:eastAsia="en-AU"/>
              </w:rPr>
              <w:t>NSW Murray Above High</w:t>
            </w:r>
          </w:p>
        </w:tc>
        <w:tc>
          <w:tcPr>
            <w:tcW w:w="2420" w:type="dxa"/>
            <w:tcBorders>
              <w:top w:val="nil"/>
              <w:left w:val="nil"/>
              <w:bottom w:val="nil"/>
              <w:right w:val="nil"/>
            </w:tcBorders>
            <w:shd w:val="clear" w:color="auto" w:fill="auto"/>
            <w:noWrap/>
            <w:vAlign w:val="bottom"/>
            <w:hideMark/>
          </w:tcPr>
          <w:p w14:paraId="5F4C2F39" w14:textId="77777777" w:rsidR="00104BDD" w:rsidRPr="00315671" w:rsidRDefault="00104BDD" w:rsidP="0079654D">
            <w:pPr>
              <w:pStyle w:val="Tabletext"/>
              <w:jc w:val="right"/>
              <w:rPr>
                <w:lang w:eastAsia="en-AU"/>
              </w:rPr>
            </w:pPr>
            <w:r w:rsidRPr="00315671">
              <w:rPr>
                <w:lang w:eastAsia="en-AU"/>
              </w:rPr>
              <w:t>0.14</w:t>
            </w:r>
          </w:p>
        </w:tc>
      </w:tr>
      <w:tr w:rsidR="00104BDD" w:rsidRPr="00315671" w14:paraId="574E8002" w14:textId="77777777" w:rsidTr="0079654D">
        <w:trPr>
          <w:trHeight w:val="300"/>
        </w:trPr>
        <w:tc>
          <w:tcPr>
            <w:tcW w:w="2740" w:type="dxa"/>
            <w:tcBorders>
              <w:top w:val="nil"/>
              <w:left w:val="nil"/>
              <w:bottom w:val="nil"/>
              <w:right w:val="nil"/>
            </w:tcBorders>
            <w:shd w:val="clear" w:color="auto" w:fill="auto"/>
            <w:noWrap/>
            <w:vAlign w:val="bottom"/>
            <w:hideMark/>
          </w:tcPr>
          <w:p w14:paraId="459E555A" w14:textId="77777777" w:rsidR="00104BDD" w:rsidRPr="00315671" w:rsidRDefault="00104BDD" w:rsidP="0079654D">
            <w:pPr>
              <w:pStyle w:val="Tabletext"/>
              <w:rPr>
                <w:lang w:eastAsia="en-AU"/>
              </w:rPr>
            </w:pPr>
            <w:r w:rsidRPr="00315671">
              <w:rPr>
                <w:lang w:eastAsia="en-AU"/>
              </w:rPr>
              <w:t>NSW Murray Below High</w:t>
            </w:r>
          </w:p>
        </w:tc>
        <w:tc>
          <w:tcPr>
            <w:tcW w:w="2420" w:type="dxa"/>
            <w:tcBorders>
              <w:top w:val="nil"/>
              <w:left w:val="nil"/>
              <w:bottom w:val="nil"/>
              <w:right w:val="nil"/>
            </w:tcBorders>
            <w:shd w:val="clear" w:color="auto" w:fill="auto"/>
            <w:noWrap/>
            <w:vAlign w:val="bottom"/>
            <w:hideMark/>
          </w:tcPr>
          <w:p w14:paraId="663D435F" w14:textId="77777777" w:rsidR="00104BDD" w:rsidRPr="00315671" w:rsidRDefault="00104BDD" w:rsidP="0079654D">
            <w:pPr>
              <w:pStyle w:val="Tabletext"/>
              <w:jc w:val="right"/>
              <w:rPr>
                <w:lang w:eastAsia="en-AU"/>
              </w:rPr>
            </w:pPr>
            <w:r w:rsidRPr="00315671">
              <w:rPr>
                <w:lang w:eastAsia="en-AU"/>
              </w:rPr>
              <w:t>0.86</w:t>
            </w:r>
          </w:p>
        </w:tc>
      </w:tr>
      <w:tr w:rsidR="00104BDD" w:rsidRPr="00315671" w14:paraId="5E8BB0FF" w14:textId="77777777" w:rsidTr="0079654D">
        <w:trPr>
          <w:trHeight w:val="300"/>
        </w:trPr>
        <w:tc>
          <w:tcPr>
            <w:tcW w:w="2740" w:type="dxa"/>
            <w:tcBorders>
              <w:top w:val="nil"/>
              <w:left w:val="nil"/>
              <w:bottom w:val="nil"/>
              <w:right w:val="nil"/>
            </w:tcBorders>
            <w:shd w:val="clear" w:color="auto" w:fill="auto"/>
            <w:noWrap/>
            <w:vAlign w:val="bottom"/>
            <w:hideMark/>
          </w:tcPr>
          <w:p w14:paraId="7991A729" w14:textId="77777777" w:rsidR="00104BDD" w:rsidRPr="00315671" w:rsidRDefault="00104BDD" w:rsidP="0079654D">
            <w:pPr>
              <w:pStyle w:val="Tabletext"/>
              <w:rPr>
                <w:lang w:eastAsia="en-AU"/>
              </w:rPr>
            </w:pPr>
            <w:r>
              <w:rPr>
                <w:lang w:eastAsia="en-AU"/>
              </w:rPr>
              <w:t>VIC</w:t>
            </w:r>
            <w:r w:rsidRPr="00315671">
              <w:rPr>
                <w:lang w:eastAsia="en-AU"/>
              </w:rPr>
              <w:t xml:space="preserve"> Murray Above High</w:t>
            </w:r>
          </w:p>
        </w:tc>
        <w:tc>
          <w:tcPr>
            <w:tcW w:w="2420" w:type="dxa"/>
            <w:tcBorders>
              <w:top w:val="nil"/>
              <w:left w:val="nil"/>
              <w:bottom w:val="nil"/>
              <w:right w:val="nil"/>
            </w:tcBorders>
            <w:shd w:val="clear" w:color="auto" w:fill="auto"/>
            <w:noWrap/>
            <w:vAlign w:val="bottom"/>
            <w:hideMark/>
          </w:tcPr>
          <w:p w14:paraId="63C6D950" w14:textId="77777777" w:rsidR="00104BDD" w:rsidRPr="00315671" w:rsidRDefault="00104BDD" w:rsidP="0079654D">
            <w:pPr>
              <w:pStyle w:val="Tabletext"/>
              <w:jc w:val="right"/>
              <w:rPr>
                <w:lang w:eastAsia="en-AU"/>
              </w:rPr>
            </w:pPr>
            <w:r w:rsidRPr="00315671">
              <w:rPr>
                <w:lang w:eastAsia="en-AU"/>
              </w:rPr>
              <w:t>0.32</w:t>
            </w:r>
          </w:p>
        </w:tc>
      </w:tr>
      <w:tr w:rsidR="00104BDD" w:rsidRPr="00315671" w14:paraId="30DE5CE7" w14:textId="77777777" w:rsidTr="0079654D">
        <w:trPr>
          <w:trHeight w:val="300"/>
        </w:trPr>
        <w:tc>
          <w:tcPr>
            <w:tcW w:w="2740" w:type="dxa"/>
            <w:tcBorders>
              <w:top w:val="nil"/>
              <w:left w:val="nil"/>
              <w:bottom w:val="nil"/>
              <w:right w:val="nil"/>
            </w:tcBorders>
            <w:shd w:val="clear" w:color="auto" w:fill="auto"/>
            <w:noWrap/>
            <w:vAlign w:val="bottom"/>
            <w:hideMark/>
          </w:tcPr>
          <w:p w14:paraId="301205CC" w14:textId="77777777" w:rsidR="00104BDD" w:rsidRPr="00315671" w:rsidRDefault="00104BDD" w:rsidP="0079654D">
            <w:pPr>
              <w:pStyle w:val="Tabletext"/>
              <w:rPr>
                <w:lang w:eastAsia="en-AU"/>
              </w:rPr>
            </w:pPr>
            <w:r>
              <w:rPr>
                <w:lang w:eastAsia="en-AU"/>
              </w:rPr>
              <w:t>VIC</w:t>
            </w:r>
            <w:r w:rsidRPr="00315671">
              <w:rPr>
                <w:lang w:eastAsia="en-AU"/>
              </w:rPr>
              <w:t xml:space="preserve"> Murray Below High</w:t>
            </w:r>
          </w:p>
        </w:tc>
        <w:tc>
          <w:tcPr>
            <w:tcW w:w="2420" w:type="dxa"/>
            <w:tcBorders>
              <w:top w:val="nil"/>
              <w:left w:val="nil"/>
              <w:bottom w:val="nil"/>
              <w:right w:val="nil"/>
            </w:tcBorders>
            <w:shd w:val="clear" w:color="auto" w:fill="auto"/>
            <w:noWrap/>
            <w:vAlign w:val="bottom"/>
            <w:hideMark/>
          </w:tcPr>
          <w:p w14:paraId="3E7530CF" w14:textId="77777777" w:rsidR="00104BDD" w:rsidRPr="00315671" w:rsidRDefault="00104BDD" w:rsidP="0079654D">
            <w:pPr>
              <w:pStyle w:val="Tabletext"/>
              <w:jc w:val="right"/>
              <w:rPr>
                <w:lang w:eastAsia="en-AU"/>
              </w:rPr>
            </w:pPr>
            <w:r w:rsidRPr="00315671">
              <w:rPr>
                <w:lang w:eastAsia="en-AU"/>
              </w:rPr>
              <w:t>0.68</w:t>
            </w:r>
          </w:p>
        </w:tc>
      </w:tr>
      <w:tr w:rsidR="00104BDD" w:rsidRPr="00315671" w14:paraId="77A88C4E" w14:textId="77777777" w:rsidTr="0079654D">
        <w:trPr>
          <w:trHeight w:val="300"/>
        </w:trPr>
        <w:tc>
          <w:tcPr>
            <w:tcW w:w="2740" w:type="dxa"/>
            <w:tcBorders>
              <w:top w:val="nil"/>
              <w:left w:val="nil"/>
              <w:bottom w:val="nil"/>
              <w:right w:val="nil"/>
            </w:tcBorders>
            <w:shd w:val="clear" w:color="auto" w:fill="auto"/>
            <w:noWrap/>
            <w:vAlign w:val="bottom"/>
            <w:hideMark/>
          </w:tcPr>
          <w:p w14:paraId="5D9ECC61" w14:textId="77777777" w:rsidR="00104BDD" w:rsidRPr="00315671" w:rsidRDefault="00104BDD" w:rsidP="0079654D">
            <w:pPr>
              <w:pStyle w:val="Tabletext"/>
              <w:rPr>
                <w:lang w:eastAsia="en-AU"/>
              </w:rPr>
            </w:pPr>
            <w:r>
              <w:rPr>
                <w:lang w:eastAsia="en-AU"/>
              </w:rPr>
              <w:t>VIC</w:t>
            </w:r>
            <w:r w:rsidRPr="00315671">
              <w:rPr>
                <w:lang w:eastAsia="en-AU"/>
              </w:rPr>
              <w:t xml:space="preserve"> Murray Above Low</w:t>
            </w:r>
          </w:p>
        </w:tc>
        <w:tc>
          <w:tcPr>
            <w:tcW w:w="2420" w:type="dxa"/>
            <w:tcBorders>
              <w:top w:val="nil"/>
              <w:left w:val="nil"/>
              <w:bottom w:val="nil"/>
              <w:right w:val="nil"/>
            </w:tcBorders>
            <w:shd w:val="clear" w:color="auto" w:fill="auto"/>
            <w:noWrap/>
            <w:vAlign w:val="bottom"/>
            <w:hideMark/>
          </w:tcPr>
          <w:p w14:paraId="30138380" w14:textId="77777777" w:rsidR="00104BDD" w:rsidRPr="00315671" w:rsidRDefault="00104BDD" w:rsidP="0079654D">
            <w:pPr>
              <w:pStyle w:val="Tabletext"/>
              <w:jc w:val="right"/>
              <w:rPr>
                <w:lang w:eastAsia="en-AU"/>
              </w:rPr>
            </w:pPr>
            <w:r w:rsidRPr="00315671">
              <w:rPr>
                <w:lang w:eastAsia="en-AU"/>
              </w:rPr>
              <w:t>0.32</w:t>
            </w:r>
          </w:p>
        </w:tc>
      </w:tr>
      <w:tr w:rsidR="00104BDD" w:rsidRPr="00315671" w14:paraId="0BF1BCCD" w14:textId="77777777" w:rsidTr="0079654D">
        <w:trPr>
          <w:trHeight w:val="300"/>
        </w:trPr>
        <w:tc>
          <w:tcPr>
            <w:tcW w:w="2740" w:type="dxa"/>
            <w:tcBorders>
              <w:top w:val="nil"/>
              <w:left w:val="nil"/>
              <w:bottom w:val="single" w:sz="4" w:space="0" w:color="auto"/>
              <w:right w:val="nil"/>
            </w:tcBorders>
            <w:shd w:val="clear" w:color="auto" w:fill="auto"/>
            <w:noWrap/>
            <w:vAlign w:val="bottom"/>
            <w:hideMark/>
          </w:tcPr>
          <w:p w14:paraId="181B7F21" w14:textId="77777777" w:rsidR="00104BDD" w:rsidRPr="00315671" w:rsidRDefault="00104BDD" w:rsidP="0079654D">
            <w:pPr>
              <w:pStyle w:val="Tabletext"/>
              <w:rPr>
                <w:lang w:eastAsia="en-AU"/>
              </w:rPr>
            </w:pPr>
            <w:r>
              <w:rPr>
                <w:lang w:eastAsia="en-AU"/>
              </w:rPr>
              <w:t>VIC</w:t>
            </w:r>
            <w:r w:rsidRPr="00315671">
              <w:rPr>
                <w:lang w:eastAsia="en-AU"/>
              </w:rPr>
              <w:t xml:space="preserve"> Murray Below Low</w:t>
            </w:r>
          </w:p>
        </w:tc>
        <w:tc>
          <w:tcPr>
            <w:tcW w:w="2420" w:type="dxa"/>
            <w:tcBorders>
              <w:top w:val="nil"/>
              <w:left w:val="nil"/>
              <w:bottom w:val="single" w:sz="4" w:space="0" w:color="auto"/>
              <w:right w:val="nil"/>
            </w:tcBorders>
            <w:shd w:val="clear" w:color="auto" w:fill="auto"/>
            <w:noWrap/>
            <w:vAlign w:val="bottom"/>
            <w:hideMark/>
          </w:tcPr>
          <w:p w14:paraId="71E8D2F4" w14:textId="77777777" w:rsidR="00104BDD" w:rsidRPr="00315671" w:rsidRDefault="00104BDD" w:rsidP="0079654D">
            <w:pPr>
              <w:pStyle w:val="Tabletext"/>
              <w:jc w:val="right"/>
              <w:rPr>
                <w:lang w:eastAsia="en-AU"/>
              </w:rPr>
            </w:pPr>
            <w:r w:rsidRPr="00315671">
              <w:rPr>
                <w:lang w:eastAsia="en-AU"/>
              </w:rPr>
              <w:t>0.68</w:t>
            </w:r>
          </w:p>
        </w:tc>
      </w:tr>
    </w:tbl>
    <w:p w14:paraId="53E4B626" w14:textId="77777777" w:rsidR="00104BDD" w:rsidRDefault="00104BDD" w:rsidP="00777422">
      <w:pPr>
        <w:pStyle w:val="Notesourcetext"/>
      </w:pPr>
    </w:p>
    <w:p w14:paraId="082CBA0F" w14:textId="77777777" w:rsidR="00104BDD" w:rsidRDefault="00104BDD" w:rsidP="00104BDD">
      <w:pPr>
        <w:pStyle w:val="Heading4"/>
      </w:pPr>
      <w:r>
        <w:t>Sources</w:t>
      </w:r>
    </w:p>
    <w:p w14:paraId="36EA744B" w14:textId="77777777" w:rsidR="00104BDD" w:rsidRDefault="00104BDD" w:rsidP="00C67DD0">
      <w:pPr>
        <w:pStyle w:val="Bulletlist-level1"/>
        <w:numPr>
          <w:ilvl w:val="0"/>
          <w:numId w:val="16"/>
        </w:numPr>
      </w:pPr>
      <w:r w:rsidRPr="007E217A">
        <w:rPr>
          <w:rStyle w:val="Dummytext"/>
          <w:color w:val="000000"/>
          <w:shd w:val="clear" w:color="auto" w:fill="auto"/>
        </w:rPr>
        <w:t>Entitlements, allocations and carryover:</w:t>
      </w:r>
    </w:p>
    <w:p w14:paraId="5B7C267A" w14:textId="41E18D39" w:rsidR="00104BDD" w:rsidRPr="003F3F1B" w:rsidRDefault="00104BDD" w:rsidP="00C67DD0">
      <w:pPr>
        <w:pStyle w:val="Bulletlist-level2"/>
        <w:numPr>
          <w:ilvl w:val="1"/>
          <w:numId w:val="16"/>
        </w:numPr>
      </w:pPr>
      <w:r w:rsidRPr="003F3F1B">
        <w:t xml:space="preserve">NSW </w:t>
      </w:r>
      <w:r>
        <w:t xml:space="preserve">Department of Primary Industries - </w:t>
      </w:r>
      <w:r w:rsidRPr="003F3F1B">
        <w:t xml:space="preserve">Water </w:t>
      </w:r>
      <w:r>
        <w:t>(DPI 2017b) water accounting reports,</w:t>
      </w:r>
    </w:p>
    <w:p w14:paraId="44DD103B" w14:textId="77777777" w:rsidR="00104BDD" w:rsidRPr="003F3F1B" w:rsidRDefault="00104BDD" w:rsidP="00C67DD0">
      <w:pPr>
        <w:pStyle w:val="Bulletlist-level2"/>
        <w:numPr>
          <w:ilvl w:val="1"/>
          <w:numId w:val="16"/>
        </w:numPr>
      </w:pPr>
      <w:r w:rsidRPr="003F3F1B">
        <w:t xml:space="preserve">NSW </w:t>
      </w:r>
      <w:r>
        <w:t>Department of Primary Industries -</w:t>
      </w:r>
      <w:r w:rsidRPr="003F3F1B">
        <w:t xml:space="preserve"> Water (</w:t>
      </w:r>
      <w:r>
        <w:t xml:space="preserve">DPI </w:t>
      </w:r>
      <w:r w:rsidRPr="003F3F1B">
        <w:t>2016) Personal Communication, Dan Berry,</w:t>
      </w:r>
    </w:p>
    <w:p w14:paraId="6FC46F36" w14:textId="77777777" w:rsidR="00104BDD" w:rsidRPr="003F3F1B" w:rsidRDefault="00104BDD" w:rsidP="00C67DD0">
      <w:pPr>
        <w:pStyle w:val="Bulletlist-level2"/>
        <w:numPr>
          <w:ilvl w:val="1"/>
          <w:numId w:val="16"/>
        </w:numPr>
      </w:pPr>
      <w:r w:rsidRPr="003F3F1B">
        <w:t>Water NSW (201</w:t>
      </w:r>
      <w:r>
        <w:t>7</w:t>
      </w:r>
      <w:r w:rsidRPr="003F3F1B">
        <w:t xml:space="preserve">) </w:t>
      </w:r>
      <w:r w:rsidRPr="00AA4F67">
        <w:t>Water availability reports</w:t>
      </w:r>
      <w:r w:rsidRPr="003F3F1B">
        <w:t>,</w:t>
      </w:r>
    </w:p>
    <w:p w14:paraId="5DEB6B44" w14:textId="77777777" w:rsidR="00104BDD" w:rsidRPr="003F3F1B" w:rsidRDefault="00104BDD" w:rsidP="00C67DD0">
      <w:pPr>
        <w:pStyle w:val="Bulletlist-level2"/>
        <w:numPr>
          <w:ilvl w:val="1"/>
          <w:numId w:val="16"/>
        </w:numPr>
      </w:pPr>
      <w:r w:rsidRPr="00AA4F67">
        <w:t>Victorian water register</w:t>
      </w:r>
      <w:r w:rsidRPr="003F3F1B">
        <w:t xml:space="preserve"> (</w:t>
      </w:r>
      <w:r>
        <w:t xml:space="preserve">DELWP </w:t>
      </w:r>
      <w:r w:rsidRPr="003F3F1B">
        <w:t>2016),</w:t>
      </w:r>
    </w:p>
    <w:p w14:paraId="2B7F0B43" w14:textId="77777777" w:rsidR="00104BDD" w:rsidRPr="003F3F1B" w:rsidRDefault="00104BDD" w:rsidP="00C67DD0">
      <w:pPr>
        <w:pStyle w:val="Bulletlist-level2"/>
        <w:numPr>
          <w:ilvl w:val="1"/>
          <w:numId w:val="16"/>
        </w:numPr>
      </w:pPr>
      <w:r w:rsidRPr="00AA4F67">
        <w:t>Northern Victorian Resource Manager</w:t>
      </w:r>
      <w:r w:rsidRPr="003F3F1B">
        <w:t xml:space="preserve"> (2016),</w:t>
      </w:r>
    </w:p>
    <w:p w14:paraId="43DFD0F9" w14:textId="77777777" w:rsidR="00104BDD" w:rsidRPr="003F3F1B" w:rsidRDefault="00104BDD" w:rsidP="00C67DD0">
      <w:pPr>
        <w:pStyle w:val="Bulletlist-level2"/>
        <w:numPr>
          <w:ilvl w:val="1"/>
          <w:numId w:val="16"/>
        </w:numPr>
      </w:pPr>
      <w:r w:rsidRPr="003F3F1B">
        <w:t>Goulburn-Murray Water (2016) Personal Communication, Guy Ortlipp,</w:t>
      </w:r>
    </w:p>
    <w:p w14:paraId="7C60ACCE" w14:textId="77777777" w:rsidR="00104BDD" w:rsidRPr="003F3F1B" w:rsidRDefault="00104BDD" w:rsidP="00C67DD0">
      <w:pPr>
        <w:pStyle w:val="Bulletlist-level2"/>
        <w:numPr>
          <w:ilvl w:val="1"/>
          <w:numId w:val="16"/>
        </w:numPr>
      </w:pPr>
      <w:r w:rsidRPr="003F3F1B">
        <w:t xml:space="preserve">South Australian Department of Environment Water and Natural Resources (2016) </w:t>
      </w:r>
      <w:r w:rsidRPr="00AA4F67">
        <w:t>Water allocation</w:t>
      </w:r>
      <w:r>
        <w:t>s</w:t>
      </w:r>
    </w:p>
    <w:p w14:paraId="23D25E90" w14:textId="77777777" w:rsidR="00104BDD" w:rsidRPr="00312CC3" w:rsidRDefault="00104BDD" w:rsidP="00C67DD0">
      <w:pPr>
        <w:pStyle w:val="Bulletlist-level1"/>
        <w:numPr>
          <w:ilvl w:val="0"/>
          <w:numId w:val="16"/>
        </w:numPr>
      </w:pPr>
      <w:r w:rsidRPr="00312CC3">
        <w:t>Environmental water</w:t>
      </w:r>
      <w:r>
        <w:t>:</w:t>
      </w:r>
    </w:p>
    <w:p w14:paraId="58827A60" w14:textId="77777777" w:rsidR="00104BDD" w:rsidRPr="00312CC3" w:rsidRDefault="00104BDD" w:rsidP="00C67DD0">
      <w:pPr>
        <w:pStyle w:val="Bulletlist-level2"/>
        <w:numPr>
          <w:ilvl w:val="1"/>
          <w:numId w:val="16"/>
        </w:numPr>
      </w:pPr>
      <w:r w:rsidRPr="00312CC3">
        <w:t xml:space="preserve">Commonwealth Environmental Water Office (CEWO) </w:t>
      </w:r>
      <w:r w:rsidRPr="00FF6B66">
        <w:t>Annual carryover reports</w:t>
      </w:r>
      <w:r w:rsidRPr="00312CC3">
        <w:t xml:space="preserve"> and </w:t>
      </w:r>
      <w:r w:rsidRPr="00FF6B66">
        <w:t>website</w:t>
      </w:r>
      <w:r>
        <w:t xml:space="preserve"> (CEWO 2017),</w:t>
      </w:r>
    </w:p>
    <w:p w14:paraId="209D9A55" w14:textId="77777777" w:rsidR="00104BDD" w:rsidRPr="00996501" w:rsidRDefault="00104BDD" w:rsidP="00C67DD0">
      <w:pPr>
        <w:pStyle w:val="Bulletlist-level2"/>
        <w:numPr>
          <w:ilvl w:val="1"/>
          <w:numId w:val="16"/>
        </w:numPr>
      </w:pPr>
      <w:r w:rsidRPr="00312CC3">
        <w:t>Department of Agriculture and Water Resources (DAWR) Volumes of water entitlements secured by the Commonwealth in the MDB</w:t>
      </w:r>
      <w:r>
        <w:t>.</w:t>
      </w:r>
    </w:p>
    <w:p w14:paraId="5936601B" w14:textId="77777777" w:rsidR="00104BDD" w:rsidRPr="00312CC3" w:rsidRDefault="00104BDD" w:rsidP="00104BDD">
      <w:pPr>
        <w:pStyle w:val="Heading2"/>
      </w:pPr>
      <w:bookmarkStart w:id="132" w:name="_Toc486527108"/>
      <w:bookmarkStart w:id="133" w:name="_Toc505345880"/>
      <w:r w:rsidRPr="00312CC3">
        <w:t xml:space="preserve">Water </w:t>
      </w:r>
      <w:r>
        <w:t xml:space="preserve">allocation </w:t>
      </w:r>
      <w:r w:rsidRPr="00312CC3">
        <w:t>prices</w:t>
      </w:r>
      <w:bookmarkEnd w:id="132"/>
      <w:bookmarkEnd w:id="133"/>
    </w:p>
    <w:p w14:paraId="1611D29D" w14:textId="5A8CFCB3" w:rsidR="00104BDD" w:rsidRDefault="00104BDD" w:rsidP="00104BDD">
      <w:pPr>
        <w:pStyle w:val="BodyText1"/>
      </w:pPr>
      <w:r w:rsidRPr="00312CC3">
        <w:t xml:space="preserve">Monthly water prices were obtained for </w:t>
      </w:r>
      <w:r>
        <w:t>the Murray, Murrumbidgee, Northern Victoria and Lower-Darling trading zones</w:t>
      </w:r>
      <w:r w:rsidRPr="00312CC3">
        <w:t xml:space="preserve"> for </w:t>
      </w:r>
      <w:r>
        <w:t xml:space="preserve">the period </w:t>
      </w:r>
      <w:r w:rsidRPr="00312CC3">
        <w:t>July 2000 t</w:t>
      </w:r>
      <w:r w:rsidR="00802327">
        <w:t>o June 2017</w:t>
      </w:r>
      <w:r>
        <w:t>. Earlier estimates –</w:t>
      </w:r>
      <w:r w:rsidRPr="00312CC3">
        <w:t xml:space="preserve"> in particular before 2007</w:t>
      </w:r>
      <w:r>
        <w:t>–</w:t>
      </w:r>
      <w:r w:rsidRPr="00312CC3">
        <w:t xml:space="preserve">08 </w:t>
      </w:r>
      <w:r>
        <w:t>–</w:t>
      </w:r>
      <w:r w:rsidRPr="00312CC3">
        <w:t xml:space="preserve"> are </w:t>
      </w:r>
      <w:r>
        <w:t>sourced</w:t>
      </w:r>
      <w:r w:rsidRPr="00312CC3">
        <w:t xml:space="preserve"> from various water exchanges. Annual </w:t>
      </w:r>
      <w:r w:rsidRPr="0020161C">
        <w:t>prices</w:t>
      </w:r>
      <w:r>
        <w:t xml:space="preserve">, unless </w:t>
      </w:r>
      <w:r>
        <w:lastRenderedPageBreak/>
        <w:t>otherwise specified,</w:t>
      </w:r>
      <w:r w:rsidRPr="0020161C">
        <w:t xml:space="preserve"> are </w:t>
      </w:r>
      <w:r>
        <w:t>calculated</w:t>
      </w:r>
      <w:r w:rsidRPr="0020161C">
        <w:t xml:space="preserve"> as the </w:t>
      </w:r>
      <w:r w:rsidRPr="0020161C">
        <w:rPr>
          <w:rStyle w:val="Dummytext"/>
          <w:color w:val="000000" w:themeColor="text1"/>
          <w:shd w:val="clear" w:color="auto" w:fill="auto"/>
        </w:rPr>
        <w:t xml:space="preserve">average of </w:t>
      </w:r>
      <w:r w:rsidRPr="00FF323C">
        <w:rPr>
          <w:rStyle w:val="Dummytext"/>
          <w:color w:val="000000" w:themeColor="text1"/>
          <w:shd w:val="clear" w:color="auto" w:fill="auto"/>
        </w:rPr>
        <w:t>monthly price</w:t>
      </w:r>
      <w:r>
        <w:rPr>
          <w:rStyle w:val="Dummytext"/>
          <w:color w:val="000000" w:themeColor="text1"/>
          <w:shd w:val="clear" w:color="auto" w:fill="auto"/>
        </w:rPr>
        <w:t>s</w:t>
      </w:r>
      <w:r>
        <w:t>.</w:t>
      </w:r>
      <w:r w:rsidR="00AE77A4">
        <w:t xml:space="preserve"> Further detail on the construction of this dataset can be found in Hughes, Gupta &amp; Rathakumar (2016).</w:t>
      </w:r>
    </w:p>
    <w:p w14:paraId="5266F9A6" w14:textId="77777777" w:rsidR="00104BDD" w:rsidRDefault="00104BDD" w:rsidP="00104BDD">
      <w:pPr>
        <w:pStyle w:val="Heading2"/>
      </w:pPr>
      <w:bookmarkStart w:id="134" w:name="_Toc486527110"/>
      <w:bookmarkStart w:id="135" w:name="_Toc505345881"/>
      <w:r>
        <w:t>ABS data</w:t>
      </w:r>
      <w:bookmarkEnd w:id="134"/>
      <w:bookmarkEnd w:id="135"/>
    </w:p>
    <w:p w14:paraId="538430F1" w14:textId="77777777" w:rsidR="00104BDD" w:rsidRDefault="00104BDD" w:rsidP="00104BDD">
      <w:pPr>
        <w:pStyle w:val="BodyText1"/>
      </w:pPr>
      <w:r>
        <w:t>Water and land use by region, industry and year is taken from ABS agricultural data. The data was first constructed as a time series using annual ABS Agricultural Commodities and Water Use on Australian Farms NRM level data. The ABS data was apportioned from NRM regions to the regions used in the water trade model using geographical data sourced from:</w:t>
      </w:r>
    </w:p>
    <w:p w14:paraId="11566D03" w14:textId="77777777" w:rsidR="00104BDD" w:rsidRDefault="00104BDD" w:rsidP="00104BDD">
      <w:pPr>
        <w:pStyle w:val="Bulletlist-level1"/>
        <w:numPr>
          <w:ilvl w:val="0"/>
          <w:numId w:val="2"/>
        </w:numPr>
      </w:pPr>
      <w:r w:rsidRPr="00C87102">
        <w:t xml:space="preserve">ABARES water </w:t>
      </w:r>
      <w:r>
        <w:t xml:space="preserve">catchment </w:t>
      </w:r>
      <w:r w:rsidRPr="00C87102">
        <w:t>regions based on CSIRO</w:t>
      </w:r>
      <w:r>
        <w:t>’s</w:t>
      </w:r>
      <w:r w:rsidRPr="00C87102">
        <w:t xml:space="preserve"> Murray-Darling Basin Sustainable Yields Project, adjusted for trade rules and the Barmah Choke</w:t>
      </w:r>
      <w:r>
        <w:t>,</w:t>
      </w:r>
    </w:p>
    <w:p w14:paraId="3BA0CF4D" w14:textId="77777777" w:rsidR="00104BDD" w:rsidRDefault="00104BDD" w:rsidP="00104BDD">
      <w:pPr>
        <w:pStyle w:val="Bulletlist-level1"/>
        <w:numPr>
          <w:ilvl w:val="0"/>
          <w:numId w:val="2"/>
        </w:numPr>
      </w:pPr>
      <w:r>
        <w:t>Irrigation areas from the NLUM and CLUM datasets,</w:t>
      </w:r>
    </w:p>
    <w:p w14:paraId="233D9431" w14:textId="77777777" w:rsidR="00104BDD" w:rsidRDefault="00104BDD" w:rsidP="00104BDD">
      <w:pPr>
        <w:pStyle w:val="Bulletlist-level1"/>
        <w:numPr>
          <w:ilvl w:val="0"/>
          <w:numId w:val="2"/>
        </w:numPr>
      </w:pPr>
      <w:r>
        <w:t>Victorian Department of Land, Water and Planning (VIC DELWP) trade zones,</w:t>
      </w:r>
    </w:p>
    <w:p w14:paraId="0C6ADFC4" w14:textId="77777777" w:rsidR="00104BDD" w:rsidRDefault="00104BDD" w:rsidP="00104BDD">
      <w:pPr>
        <w:pStyle w:val="Bulletlist-level1"/>
        <w:numPr>
          <w:ilvl w:val="0"/>
          <w:numId w:val="2"/>
        </w:numPr>
      </w:pPr>
      <w:r>
        <w:t>ABS natural resource management (NRM) regions.</w:t>
      </w:r>
    </w:p>
    <w:p w14:paraId="7B170C03" w14:textId="77777777" w:rsidR="00104BDD" w:rsidRPr="00F9246F" w:rsidRDefault="00104BDD" w:rsidP="00104BDD">
      <w:pPr>
        <w:pStyle w:val="Heading3"/>
        <w:rPr>
          <w:rStyle w:val="Bold"/>
          <w:b/>
        </w:rPr>
      </w:pPr>
      <w:r w:rsidRPr="00F9246F">
        <w:rPr>
          <w:rStyle w:val="Bold"/>
          <w:b/>
        </w:rPr>
        <w:t xml:space="preserve">Homogenising ABS industry definitions </w:t>
      </w:r>
    </w:p>
    <w:p w14:paraId="3E34B691" w14:textId="77777777" w:rsidR="00104BDD" w:rsidRDefault="00104BDD" w:rsidP="00C67DD0">
      <w:pPr>
        <w:pStyle w:val="Bulletlist-level1"/>
        <w:numPr>
          <w:ilvl w:val="0"/>
          <w:numId w:val="16"/>
        </w:numPr>
      </w:pPr>
      <w:r>
        <w:t xml:space="preserve">ABS agricultural industry definitions have changed over time. ABS agricultural industry data was first homogenised across years using the definitions specified in </w:t>
      </w:r>
      <w:r>
        <w:fldChar w:fldCharType="begin"/>
      </w:r>
      <w:r>
        <w:instrText xml:space="preserve"> REF TableA1 \h </w:instrText>
      </w:r>
      <w:r>
        <w:fldChar w:fldCharType="separate"/>
      </w:r>
      <w:r w:rsidR="00F709AB">
        <w:t>Table A</w:t>
      </w:r>
      <w:r>
        <w:fldChar w:fldCharType="end"/>
      </w:r>
      <w:r>
        <w:t>.</w:t>
      </w:r>
    </w:p>
    <w:p w14:paraId="074CACAD" w14:textId="77777777" w:rsidR="00104BDD" w:rsidRDefault="00104BDD" w:rsidP="00C67DD0">
      <w:pPr>
        <w:pStyle w:val="Bulletlist-level1"/>
        <w:numPr>
          <w:ilvl w:val="0"/>
          <w:numId w:val="16"/>
        </w:numPr>
      </w:pPr>
      <w:r>
        <w:t xml:space="preserve">For use in the water trade model the homogenised time series data was grouped into the irrigation activities listed in </w:t>
      </w:r>
      <w:r>
        <w:fldChar w:fldCharType="begin"/>
      </w:r>
      <w:r>
        <w:instrText xml:space="preserve"> REF _Ref484529243 \h </w:instrText>
      </w:r>
      <w:r>
        <w:fldChar w:fldCharType="separate"/>
      </w:r>
      <w:r w:rsidR="00F709AB">
        <w:t>Table A</w:t>
      </w:r>
      <w:r w:rsidR="00F709AB">
        <w:rPr>
          <w:noProof/>
        </w:rPr>
        <w:t>3</w:t>
      </w:r>
      <w:r>
        <w:fldChar w:fldCharType="end"/>
      </w:r>
      <w:r>
        <w:t>.</w:t>
      </w:r>
      <w:r w:rsidR="003141BF">
        <w:t xml:space="preserve"> A detailed breakdown for matching irrigation activities for each ABS survey is listed in </w:t>
      </w:r>
      <w:r w:rsidR="003141BF">
        <w:fldChar w:fldCharType="begin"/>
      </w:r>
      <w:r w:rsidR="003141BF">
        <w:instrText xml:space="preserve"> REF _Ref493084263 \h </w:instrText>
      </w:r>
      <w:r w:rsidR="003141BF">
        <w:fldChar w:fldCharType="separate"/>
      </w:r>
      <w:r w:rsidR="00F709AB">
        <w:t>Table A</w:t>
      </w:r>
      <w:r w:rsidR="00F709AB">
        <w:rPr>
          <w:noProof/>
        </w:rPr>
        <w:t>4</w:t>
      </w:r>
      <w:r w:rsidR="003141BF">
        <w:fldChar w:fldCharType="end"/>
      </w:r>
      <w:r w:rsidR="003141BF">
        <w:t>.</w:t>
      </w:r>
    </w:p>
    <w:p w14:paraId="5BDFE70B" w14:textId="77777777" w:rsidR="00104BDD" w:rsidRDefault="00104BDD" w:rsidP="00104BDD">
      <w:pPr>
        <w:pStyle w:val="Caption"/>
      </w:pPr>
      <w:bookmarkStart w:id="136" w:name="_Ref484529243"/>
      <w:bookmarkStart w:id="137" w:name="_Toc491356908"/>
      <w:bookmarkStart w:id="138" w:name="_Toc505345904"/>
      <w:r>
        <w:t xml:space="preserve">Table </w:t>
      </w:r>
      <w:r w:rsidR="003141BF">
        <w:t>A</w:t>
      </w:r>
      <w:fldSimple w:instr=" SEQ Table \* ARABIC ">
        <w:r w:rsidR="00F709AB">
          <w:rPr>
            <w:noProof/>
          </w:rPr>
          <w:t>3</w:t>
        </w:r>
      </w:fldSimple>
      <w:bookmarkEnd w:id="136"/>
      <w:r>
        <w:t xml:space="preserve"> ABARES industry labels and groupings for water trade model</w:t>
      </w:r>
      <w:bookmarkEnd w:id="137"/>
      <w:bookmarkEnd w:id="138"/>
    </w:p>
    <w:tbl>
      <w:tblPr>
        <w:tblStyle w:val="ABAREStableleftalign"/>
        <w:tblW w:w="0" w:type="auto"/>
        <w:tblLook w:val="0000" w:firstRow="0" w:lastRow="0" w:firstColumn="0" w:lastColumn="0" w:noHBand="0" w:noVBand="0"/>
      </w:tblPr>
      <w:tblGrid>
        <w:gridCol w:w="3686"/>
        <w:gridCol w:w="2410"/>
      </w:tblGrid>
      <w:tr w:rsidR="00104BDD" w14:paraId="3D05C682" w14:textId="77777777" w:rsidTr="0079654D">
        <w:tc>
          <w:tcPr>
            <w:tcW w:w="3686" w:type="dxa"/>
          </w:tcPr>
          <w:p w14:paraId="37AF685D" w14:textId="77777777" w:rsidR="00104BDD" w:rsidRPr="00233A09" w:rsidRDefault="00104BDD" w:rsidP="0079654D">
            <w:pPr>
              <w:pStyle w:val="TableBoxtext"/>
              <w:rPr>
                <w:rStyle w:val="Bold"/>
              </w:rPr>
            </w:pPr>
            <w:r w:rsidRPr="00233A09">
              <w:rPr>
                <w:rStyle w:val="Bold"/>
              </w:rPr>
              <w:t>ABS NRM data industry classification</w:t>
            </w:r>
          </w:p>
        </w:tc>
        <w:tc>
          <w:tcPr>
            <w:tcW w:w="2410" w:type="dxa"/>
          </w:tcPr>
          <w:p w14:paraId="5F4389AE" w14:textId="77777777" w:rsidR="00104BDD" w:rsidRPr="00233A09" w:rsidRDefault="00104BDD" w:rsidP="0079654D">
            <w:pPr>
              <w:pStyle w:val="TableBoxtext"/>
              <w:rPr>
                <w:rStyle w:val="Bold"/>
              </w:rPr>
            </w:pPr>
            <w:r w:rsidRPr="00233A09">
              <w:rPr>
                <w:rStyle w:val="Bold"/>
              </w:rPr>
              <w:t>Water trade model activity</w:t>
            </w:r>
          </w:p>
        </w:tc>
      </w:tr>
      <w:tr w:rsidR="00104BDD" w14:paraId="5B7C6535" w14:textId="77777777" w:rsidTr="0079654D">
        <w:tc>
          <w:tcPr>
            <w:tcW w:w="3686" w:type="dxa"/>
          </w:tcPr>
          <w:p w14:paraId="219D2B17" w14:textId="77777777" w:rsidR="00104BDD" w:rsidRPr="00233A09" w:rsidRDefault="00104BDD" w:rsidP="0079654D">
            <w:pPr>
              <w:pStyle w:val="TableBoxtext"/>
            </w:pPr>
            <w:r>
              <w:t>Cotton</w:t>
            </w:r>
          </w:p>
        </w:tc>
        <w:tc>
          <w:tcPr>
            <w:tcW w:w="2410" w:type="dxa"/>
          </w:tcPr>
          <w:p w14:paraId="258ADE3C" w14:textId="77777777" w:rsidR="00104BDD" w:rsidRPr="00233A09" w:rsidRDefault="00104BDD" w:rsidP="0079654D">
            <w:pPr>
              <w:pStyle w:val="TableBoxtext"/>
            </w:pPr>
            <w:r>
              <w:t>Cotton</w:t>
            </w:r>
          </w:p>
        </w:tc>
      </w:tr>
      <w:tr w:rsidR="00104BDD" w14:paraId="5FEDE5AE" w14:textId="77777777" w:rsidTr="0079654D">
        <w:tc>
          <w:tcPr>
            <w:tcW w:w="3686" w:type="dxa"/>
          </w:tcPr>
          <w:p w14:paraId="4E43920C" w14:textId="77777777" w:rsidR="00104BDD" w:rsidRPr="00233A09" w:rsidRDefault="00104BDD" w:rsidP="0079654D">
            <w:pPr>
              <w:pStyle w:val="TableBoxtext"/>
            </w:pPr>
            <w:r w:rsidRPr="00233A09">
              <w:t>Fruit trees, nut trees, plantation or berry fruits</w:t>
            </w:r>
          </w:p>
        </w:tc>
        <w:tc>
          <w:tcPr>
            <w:tcW w:w="2410" w:type="dxa"/>
          </w:tcPr>
          <w:p w14:paraId="1146B080" w14:textId="77777777" w:rsidR="00104BDD" w:rsidRPr="00233A09" w:rsidRDefault="00104BDD" w:rsidP="0079654D">
            <w:pPr>
              <w:pStyle w:val="TableBoxtext"/>
            </w:pPr>
            <w:r w:rsidRPr="00233A09">
              <w:t>Fruits</w:t>
            </w:r>
          </w:p>
        </w:tc>
      </w:tr>
      <w:tr w:rsidR="00104BDD" w14:paraId="2E520AD0" w14:textId="77777777" w:rsidTr="0079654D">
        <w:tc>
          <w:tcPr>
            <w:tcW w:w="3686" w:type="dxa"/>
          </w:tcPr>
          <w:p w14:paraId="4491337B" w14:textId="77777777" w:rsidR="00104BDD" w:rsidRPr="00233A09" w:rsidRDefault="00104BDD" w:rsidP="0079654D">
            <w:pPr>
              <w:pStyle w:val="TableBoxtext"/>
            </w:pPr>
            <w:r>
              <w:t>Grapevines</w:t>
            </w:r>
          </w:p>
        </w:tc>
        <w:tc>
          <w:tcPr>
            <w:tcW w:w="2410" w:type="dxa"/>
          </w:tcPr>
          <w:p w14:paraId="1170C569" w14:textId="77777777" w:rsidR="00104BDD" w:rsidRPr="00233A09" w:rsidRDefault="00104BDD" w:rsidP="0079654D">
            <w:pPr>
              <w:pStyle w:val="TableBoxtext"/>
            </w:pPr>
            <w:r>
              <w:t>Grapevines</w:t>
            </w:r>
          </w:p>
        </w:tc>
      </w:tr>
      <w:tr w:rsidR="00104BDD" w14:paraId="05DB1249" w14:textId="77777777" w:rsidTr="0079654D">
        <w:tc>
          <w:tcPr>
            <w:tcW w:w="3686" w:type="dxa"/>
          </w:tcPr>
          <w:p w14:paraId="1C7593D9" w14:textId="77777777" w:rsidR="00104BDD" w:rsidRPr="00233A09" w:rsidRDefault="00104BDD" w:rsidP="0079654D">
            <w:pPr>
              <w:pStyle w:val="TableBoxtext"/>
            </w:pPr>
            <w:r w:rsidRPr="00233A09">
              <w:t>Nurseries, cut flowers and cultivated turf</w:t>
            </w:r>
          </w:p>
        </w:tc>
        <w:tc>
          <w:tcPr>
            <w:tcW w:w="2410" w:type="dxa"/>
          </w:tcPr>
          <w:p w14:paraId="65B5ADD8" w14:textId="77777777" w:rsidR="00104BDD" w:rsidRPr="00233A09" w:rsidRDefault="00104BDD" w:rsidP="0079654D">
            <w:pPr>
              <w:pStyle w:val="TableBoxtext"/>
            </w:pPr>
            <w:r w:rsidRPr="00233A09">
              <w:t>Other crops</w:t>
            </w:r>
          </w:p>
        </w:tc>
      </w:tr>
      <w:tr w:rsidR="00104BDD" w14:paraId="3BF75CC8" w14:textId="77777777" w:rsidTr="0079654D">
        <w:tc>
          <w:tcPr>
            <w:tcW w:w="3686" w:type="dxa"/>
          </w:tcPr>
          <w:p w14:paraId="405933B1" w14:textId="77777777" w:rsidR="00104BDD" w:rsidRPr="00233A09" w:rsidRDefault="00104BDD" w:rsidP="0079654D">
            <w:pPr>
              <w:pStyle w:val="TableBoxtext"/>
            </w:pPr>
            <w:r w:rsidRPr="00233A09">
              <w:t>Other broadacre crops</w:t>
            </w:r>
          </w:p>
        </w:tc>
        <w:tc>
          <w:tcPr>
            <w:tcW w:w="2410" w:type="dxa"/>
          </w:tcPr>
          <w:p w14:paraId="3920D77B" w14:textId="77777777" w:rsidR="00104BDD" w:rsidRPr="00233A09" w:rsidRDefault="00104BDD" w:rsidP="0079654D">
            <w:pPr>
              <w:pStyle w:val="TableBoxtext"/>
            </w:pPr>
            <w:r w:rsidRPr="00233A09">
              <w:t>Other broadacre</w:t>
            </w:r>
          </w:p>
        </w:tc>
      </w:tr>
      <w:tr w:rsidR="00104BDD" w14:paraId="6E60AAF7" w14:textId="77777777" w:rsidTr="0079654D">
        <w:tc>
          <w:tcPr>
            <w:tcW w:w="3686" w:type="dxa"/>
          </w:tcPr>
          <w:p w14:paraId="1BAF28FE" w14:textId="77777777" w:rsidR="00104BDD" w:rsidRPr="00233A09" w:rsidRDefault="00104BDD" w:rsidP="0079654D">
            <w:pPr>
              <w:pStyle w:val="TableBoxtext"/>
            </w:pPr>
            <w:r w:rsidRPr="00233A09">
              <w:t>Other cereals for grain or seed</w:t>
            </w:r>
          </w:p>
        </w:tc>
        <w:tc>
          <w:tcPr>
            <w:tcW w:w="2410" w:type="dxa"/>
          </w:tcPr>
          <w:p w14:paraId="29C464ED" w14:textId="77777777" w:rsidR="00104BDD" w:rsidRPr="00233A09" w:rsidRDefault="00104BDD" w:rsidP="0079654D">
            <w:pPr>
              <w:pStyle w:val="TableBoxtext"/>
            </w:pPr>
            <w:r w:rsidRPr="00233A09">
              <w:t>Other cereals</w:t>
            </w:r>
          </w:p>
        </w:tc>
      </w:tr>
      <w:tr w:rsidR="00104BDD" w14:paraId="3F2DF24D" w14:textId="77777777" w:rsidTr="0079654D">
        <w:tc>
          <w:tcPr>
            <w:tcW w:w="3686" w:type="dxa"/>
          </w:tcPr>
          <w:p w14:paraId="0D8BC1E4" w14:textId="77777777" w:rsidR="00104BDD" w:rsidRPr="00233A09" w:rsidRDefault="00104BDD" w:rsidP="0079654D">
            <w:pPr>
              <w:pStyle w:val="TableBoxtext"/>
            </w:pPr>
            <w:r w:rsidRPr="00233A09">
              <w:t>Other crops n.e.c.</w:t>
            </w:r>
          </w:p>
        </w:tc>
        <w:tc>
          <w:tcPr>
            <w:tcW w:w="2410" w:type="dxa"/>
          </w:tcPr>
          <w:p w14:paraId="4599FA8E" w14:textId="77777777" w:rsidR="00104BDD" w:rsidRPr="00233A09" w:rsidRDefault="00104BDD" w:rsidP="0079654D">
            <w:pPr>
              <w:pStyle w:val="TableBoxtext"/>
            </w:pPr>
            <w:r w:rsidRPr="00233A09">
              <w:t>Other crops</w:t>
            </w:r>
          </w:p>
        </w:tc>
      </w:tr>
      <w:tr w:rsidR="00104BDD" w14:paraId="059E71B1" w14:textId="77777777" w:rsidTr="0079654D">
        <w:tc>
          <w:tcPr>
            <w:tcW w:w="3686" w:type="dxa"/>
          </w:tcPr>
          <w:p w14:paraId="60B55035" w14:textId="77777777" w:rsidR="00104BDD" w:rsidRPr="00233A09" w:rsidRDefault="00104BDD" w:rsidP="0079654D">
            <w:pPr>
              <w:pStyle w:val="TableBoxtext"/>
            </w:pPr>
            <w:r w:rsidRPr="00233A09">
              <w:t>Pastures and cereal for grazing</w:t>
            </w:r>
          </w:p>
        </w:tc>
        <w:tc>
          <w:tcPr>
            <w:tcW w:w="2410" w:type="dxa"/>
          </w:tcPr>
          <w:p w14:paraId="26D2F219" w14:textId="77777777" w:rsidR="00104BDD" w:rsidRPr="00233A09" w:rsidRDefault="00104BDD" w:rsidP="0079654D">
            <w:pPr>
              <w:pStyle w:val="TableBoxtext"/>
            </w:pPr>
            <w:r w:rsidRPr="00233A09">
              <w:t>Pastures - Dairy</w:t>
            </w:r>
          </w:p>
        </w:tc>
      </w:tr>
      <w:tr w:rsidR="00104BDD" w14:paraId="4A821B93" w14:textId="77777777" w:rsidTr="0079654D">
        <w:tc>
          <w:tcPr>
            <w:tcW w:w="3686" w:type="dxa"/>
          </w:tcPr>
          <w:p w14:paraId="2A7C4727" w14:textId="77777777" w:rsidR="00104BDD" w:rsidRPr="00233A09" w:rsidRDefault="00104BDD" w:rsidP="0079654D">
            <w:pPr>
              <w:pStyle w:val="TableBoxtext"/>
            </w:pPr>
            <w:r w:rsidRPr="00233A09">
              <w:t>Pastures and cereal for hay</w:t>
            </w:r>
          </w:p>
        </w:tc>
        <w:tc>
          <w:tcPr>
            <w:tcW w:w="2410" w:type="dxa"/>
          </w:tcPr>
          <w:p w14:paraId="7CC27151" w14:textId="77777777" w:rsidR="00104BDD" w:rsidRPr="00233A09" w:rsidRDefault="00104BDD" w:rsidP="0079654D">
            <w:pPr>
              <w:pStyle w:val="TableBoxtext"/>
            </w:pPr>
            <w:r w:rsidRPr="00233A09">
              <w:t>Pastures - Hay</w:t>
            </w:r>
          </w:p>
        </w:tc>
      </w:tr>
      <w:tr w:rsidR="00104BDD" w14:paraId="5F31C1B2" w14:textId="77777777" w:rsidTr="0079654D">
        <w:tc>
          <w:tcPr>
            <w:tcW w:w="3686" w:type="dxa"/>
          </w:tcPr>
          <w:p w14:paraId="7C68A6A6" w14:textId="77777777" w:rsidR="00104BDD" w:rsidRPr="00233A09" w:rsidRDefault="00104BDD" w:rsidP="0079654D">
            <w:pPr>
              <w:pStyle w:val="TableBoxtext"/>
            </w:pPr>
            <w:r w:rsidRPr="00233A09">
              <w:t>Pastures and cereal for silage</w:t>
            </w:r>
          </w:p>
        </w:tc>
        <w:tc>
          <w:tcPr>
            <w:tcW w:w="2410" w:type="dxa"/>
          </w:tcPr>
          <w:p w14:paraId="55CE1CBF" w14:textId="77777777" w:rsidR="00104BDD" w:rsidRPr="00233A09" w:rsidRDefault="00104BDD" w:rsidP="0079654D">
            <w:pPr>
              <w:pStyle w:val="TableBoxtext"/>
            </w:pPr>
            <w:r w:rsidRPr="00233A09">
              <w:t>Pastures - Hay</w:t>
            </w:r>
          </w:p>
        </w:tc>
      </w:tr>
      <w:tr w:rsidR="00104BDD" w14:paraId="474FD2C9" w14:textId="77777777" w:rsidTr="0079654D">
        <w:tc>
          <w:tcPr>
            <w:tcW w:w="3686" w:type="dxa"/>
          </w:tcPr>
          <w:p w14:paraId="12E0C29A" w14:textId="77777777" w:rsidR="00104BDD" w:rsidRPr="00233A09" w:rsidRDefault="00104BDD" w:rsidP="0079654D">
            <w:pPr>
              <w:pStyle w:val="TableBoxtext"/>
            </w:pPr>
            <w:r>
              <w:t>Rice</w:t>
            </w:r>
          </w:p>
        </w:tc>
        <w:tc>
          <w:tcPr>
            <w:tcW w:w="2410" w:type="dxa"/>
          </w:tcPr>
          <w:p w14:paraId="539647DD" w14:textId="77777777" w:rsidR="00104BDD" w:rsidRPr="00233A09" w:rsidRDefault="00104BDD" w:rsidP="0079654D">
            <w:pPr>
              <w:pStyle w:val="TableBoxtext"/>
            </w:pPr>
            <w:r>
              <w:t>Rice</w:t>
            </w:r>
          </w:p>
        </w:tc>
      </w:tr>
      <w:tr w:rsidR="00104BDD" w14:paraId="0FDA859B" w14:textId="77777777" w:rsidTr="0079654D">
        <w:tc>
          <w:tcPr>
            <w:tcW w:w="3686" w:type="dxa"/>
          </w:tcPr>
          <w:p w14:paraId="5C563944" w14:textId="77777777" w:rsidR="00104BDD" w:rsidRDefault="00104BDD" w:rsidP="0079654D">
            <w:pPr>
              <w:pStyle w:val="TableBoxtext"/>
            </w:pPr>
            <w:r>
              <w:t>Sugar cane</w:t>
            </w:r>
          </w:p>
        </w:tc>
        <w:tc>
          <w:tcPr>
            <w:tcW w:w="2410" w:type="dxa"/>
          </w:tcPr>
          <w:p w14:paraId="72DFD425" w14:textId="77777777" w:rsidR="00104BDD" w:rsidRDefault="00104BDD" w:rsidP="0079654D">
            <w:pPr>
              <w:pStyle w:val="TableBoxtext"/>
            </w:pPr>
            <w:r>
              <w:t>Sugar cane (excluded)</w:t>
            </w:r>
          </w:p>
        </w:tc>
      </w:tr>
      <w:tr w:rsidR="00104BDD" w14:paraId="3AFE608B" w14:textId="77777777" w:rsidTr="0079654D">
        <w:tc>
          <w:tcPr>
            <w:tcW w:w="3686" w:type="dxa"/>
          </w:tcPr>
          <w:p w14:paraId="4D445004" w14:textId="77777777" w:rsidR="00104BDD" w:rsidRPr="00233A09" w:rsidRDefault="00104BDD" w:rsidP="0079654D">
            <w:pPr>
              <w:pStyle w:val="TableBoxtext"/>
            </w:pPr>
            <w:r w:rsidRPr="00233A09">
              <w:t>Vegetables for human consumption</w:t>
            </w:r>
          </w:p>
        </w:tc>
        <w:tc>
          <w:tcPr>
            <w:tcW w:w="2410" w:type="dxa"/>
          </w:tcPr>
          <w:p w14:paraId="50BE98F2" w14:textId="77777777" w:rsidR="00104BDD" w:rsidRPr="00233A09" w:rsidRDefault="00104BDD" w:rsidP="0079654D">
            <w:pPr>
              <w:pStyle w:val="TableBoxtext"/>
            </w:pPr>
            <w:r w:rsidRPr="00233A09">
              <w:t>Vegetables</w:t>
            </w:r>
          </w:p>
        </w:tc>
      </w:tr>
    </w:tbl>
    <w:p w14:paraId="4BCA8C29" w14:textId="4591926B" w:rsidR="00104BDD" w:rsidRDefault="00104BDD" w:rsidP="00777422">
      <w:pPr>
        <w:pStyle w:val="Notesourcetext"/>
      </w:pPr>
      <w:r>
        <w:t xml:space="preserve">Note: </w:t>
      </w:r>
      <w:r w:rsidR="00192FEB">
        <w:t>Alloc</w:t>
      </w:r>
    </w:p>
    <w:p w14:paraId="00F547AD" w14:textId="5CCB59D4" w:rsidR="00AE77A4" w:rsidRDefault="00AE77A4">
      <w:pPr>
        <w:spacing w:after="0" w:line="240" w:lineRule="auto"/>
      </w:pPr>
      <w:r>
        <w:br w:type="page"/>
      </w:r>
    </w:p>
    <w:p w14:paraId="346FEEAA" w14:textId="77777777" w:rsidR="00104BDD" w:rsidRPr="007E63D5" w:rsidRDefault="00104BDD" w:rsidP="00104BDD">
      <w:pPr>
        <w:pStyle w:val="Caption"/>
      </w:pPr>
      <w:bookmarkStart w:id="139" w:name="_Ref486510784"/>
      <w:bookmarkStart w:id="140" w:name="TableA1"/>
      <w:bookmarkStart w:id="141" w:name="_Ref493084263"/>
      <w:bookmarkStart w:id="142" w:name="_Toc491356945"/>
      <w:bookmarkStart w:id="143" w:name="_Toc505345905"/>
      <w:r>
        <w:lastRenderedPageBreak/>
        <w:t>Table A</w:t>
      </w:r>
      <w:bookmarkEnd w:id="139"/>
      <w:bookmarkEnd w:id="140"/>
      <w:r w:rsidR="003141BF">
        <w:fldChar w:fldCharType="begin"/>
      </w:r>
      <w:r w:rsidR="003141BF">
        <w:instrText xml:space="preserve"> SEQ Table \* ARABIC </w:instrText>
      </w:r>
      <w:r w:rsidR="003141BF">
        <w:fldChar w:fldCharType="separate"/>
      </w:r>
      <w:r w:rsidR="00F709AB">
        <w:rPr>
          <w:noProof/>
        </w:rPr>
        <w:t>4</w:t>
      </w:r>
      <w:r w:rsidR="003141BF">
        <w:fldChar w:fldCharType="end"/>
      </w:r>
      <w:bookmarkEnd w:id="141"/>
      <w:r>
        <w:t xml:space="preserve"> ABS agricultural industry definitions and ABARES labels</w:t>
      </w:r>
      <w:bookmarkEnd w:id="142"/>
      <w:bookmarkEnd w:id="143"/>
    </w:p>
    <w:tbl>
      <w:tblPr>
        <w:tblStyle w:val="ABAREStableleftalign"/>
        <w:tblW w:w="9072" w:type="dxa"/>
        <w:tblLook w:val="04A0" w:firstRow="1" w:lastRow="0" w:firstColumn="1" w:lastColumn="0" w:noHBand="0" w:noVBand="1"/>
      </w:tblPr>
      <w:tblGrid>
        <w:gridCol w:w="4820"/>
        <w:gridCol w:w="4252"/>
      </w:tblGrid>
      <w:tr w:rsidR="00104BDD" w:rsidRPr="009B7A5A" w14:paraId="457EB735" w14:textId="77777777" w:rsidTr="00104BDD">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523CD91" w14:textId="77777777" w:rsidR="00104BDD" w:rsidRPr="007E63D5" w:rsidRDefault="00104BDD" w:rsidP="0079654D">
            <w:pPr>
              <w:pStyle w:val="Tabletext"/>
            </w:pPr>
            <w:r w:rsidRPr="007E63D5">
              <w:t>2011-12 ABS industry definitions</w:t>
            </w:r>
          </w:p>
        </w:tc>
        <w:tc>
          <w:tcPr>
            <w:tcW w:w="4252" w:type="dxa"/>
            <w:noWrap/>
            <w:hideMark/>
          </w:tcPr>
          <w:p w14:paraId="09921D67" w14:textId="77777777" w:rsidR="00104BDD" w:rsidRPr="007E63D5" w:rsidRDefault="00104BDD" w:rsidP="0079654D">
            <w:pPr>
              <w:pStyle w:val="Tabletext"/>
              <w:cnfStyle w:val="100000000000" w:firstRow="1" w:lastRow="0" w:firstColumn="0" w:lastColumn="0" w:oddVBand="0" w:evenVBand="0" w:oddHBand="0" w:evenHBand="0" w:firstRowFirstColumn="0" w:firstRowLastColumn="0" w:lastRowFirstColumn="0" w:lastRowLastColumn="0"/>
            </w:pPr>
            <w:r>
              <w:t>ABARES</w:t>
            </w:r>
            <w:r w:rsidRPr="007E63D5">
              <w:t xml:space="preserve"> labels</w:t>
            </w:r>
          </w:p>
        </w:tc>
      </w:tr>
      <w:tr w:rsidR="00104BDD" w:rsidRPr="009B7A5A" w14:paraId="03B3CDB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9474E56" w14:textId="77777777" w:rsidR="00104BDD" w:rsidRPr="007E63D5" w:rsidRDefault="00104BDD" w:rsidP="0079654D">
            <w:pPr>
              <w:pStyle w:val="Tabletext"/>
            </w:pPr>
            <w:r w:rsidRPr="007E63D5">
              <w:t>Pastures (incl lucerne) and cereal crops used for grazing or fed off</w:t>
            </w:r>
          </w:p>
        </w:tc>
        <w:tc>
          <w:tcPr>
            <w:tcW w:w="4252" w:type="dxa"/>
            <w:noWrap/>
            <w:hideMark/>
          </w:tcPr>
          <w:p w14:paraId="2F950A2B"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441238EF"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3E6D060" w14:textId="77777777" w:rsidR="00104BDD" w:rsidRPr="007E63D5" w:rsidRDefault="00104BDD" w:rsidP="0079654D">
            <w:pPr>
              <w:pStyle w:val="Tabletext"/>
            </w:pPr>
            <w:r w:rsidRPr="007E63D5">
              <w:t>Pastures (incl lucerne) and cereal crops cut for hay</w:t>
            </w:r>
          </w:p>
        </w:tc>
        <w:tc>
          <w:tcPr>
            <w:tcW w:w="4252" w:type="dxa"/>
            <w:noWrap/>
            <w:hideMark/>
          </w:tcPr>
          <w:p w14:paraId="68D4BAE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4544D74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A1EF195" w14:textId="77777777" w:rsidR="00104BDD" w:rsidRPr="007E63D5" w:rsidRDefault="00104BDD" w:rsidP="0079654D">
            <w:pPr>
              <w:pStyle w:val="Tabletext"/>
            </w:pPr>
            <w:r w:rsidRPr="007E63D5">
              <w:t>Pastures (incl lucerne) and cereal crops cut for silage</w:t>
            </w:r>
          </w:p>
        </w:tc>
        <w:tc>
          <w:tcPr>
            <w:tcW w:w="4252" w:type="dxa"/>
            <w:noWrap/>
            <w:hideMark/>
          </w:tcPr>
          <w:p w14:paraId="6026A2E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silage</w:t>
            </w:r>
          </w:p>
        </w:tc>
      </w:tr>
      <w:tr w:rsidR="00104BDD" w:rsidRPr="009B7A5A" w14:paraId="007EADCC"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D03AAB0" w14:textId="77777777" w:rsidR="00104BDD" w:rsidRPr="007E63D5" w:rsidRDefault="00104BDD" w:rsidP="0079654D">
            <w:pPr>
              <w:pStyle w:val="Tabletext"/>
            </w:pPr>
            <w:r w:rsidRPr="007E63D5">
              <w:t>Rice</w:t>
            </w:r>
          </w:p>
        </w:tc>
        <w:tc>
          <w:tcPr>
            <w:tcW w:w="4252" w:type="dxa"/>
            <w:noWrap/>
            <w:hideMark/>
          </w:tcPr>
          <w:p w14:paraId="10B8115C"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49749323"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6DE2781" w14:textId="77777777" w:rsidR="00104BDD" w:rsidRPr="007E63D5" w:rsidRDefault="00104BDD" w:rsidP="0079654D">
            <w:pPr>
              <w:pStyle w:val="Tabletext"/>
            </w:pPr>
            <w:r w:rsidRPr="007E63D5">
              <w:t>Other cereals for grain or seed</w:t>
            </w:r>
          </w:p>
        </w:tc>
        <w:tc>
          <w:tcPr>
            <w:tcW w:w="4252" w:type="dxa"/>
            <w:noWrap/>
            <w:hideMark/>
          </w:tcPr>
          <w:p w14:paraId="639E42C6"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321069E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83D88C6" w14:textId="77777777" w:rsidR="00104BDD" w:rsidRPr="007E63D5" w:rsidRDefault="00104BDD" w:rsidP="0079654D">
            <w:pPr>
              <w:pStyle w:val="Tabletext"/>
            </w:pPr>
            <w:r w:rsidRPr="007E63D5">
              <w:t>Cotton</w:t>
            </w:r>
          </w:p>
        </w:tc>
        <w:tc>
          <w:tcPr>
            <w:tcW w:w="4252" w:type="dxa"/>
            <w:noWrap/>
            <w:hideMark/>
          </w:tcPr>
          <w:p w14:paraId="0BB4CC5B"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019D78F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ABC3251" w14:textId="77777777" w:rsidR="00104BDD" w:rsidRPr="007E63D5" w:rsidRDefault="00104BDD" w:rsidP="0079654D">
            <w:pPr>
              <w:pStyle w:val="Tabletext"/>
            </w:pPr>
            <w:r w:rsidRPr="007E63D5">
              <w:t>Sugar cane</w:t>
            </w:r>
          </w:p>
        </w:tc>
        <w:tc>
          <w:tcPr>
            <w:tcW w:w="4252" w:type="dxa"/>
            <w:noWrap/>
            <w:hideMark/>
          </w:tcPr>
          <w:p w14:paraId="60E30E03"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4F58415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136301D" w14:textId="77777777" w:rsidR="00104BDD" w:rsidRPr="007E63D5" w:rsidRDefault="00104BDD" w:rsidP="0079654D">
            <w:pPr>
              <w:pStyle w:val="Tabletext"/>
            </w:pPr>
            <w:r w:rsidRPr="007E63D5">
              <w:t>Other broadacre crops</w:t>
            </w:r>
          </w:p>
        </w:tc>
        <w:tc>
          <w:tcPr>
            <w:tcW w:w="4252" w:type="dxa"/>
            <w:noWrap/>
            <w:hideMark/>
          </w:tcPr>
          <w:p w14:paraId="66E08B9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1F2CA114"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7D0679A" w14:textId="77777777" w:rsidR="00104BDD" w:rsidRPr="007E63D5" w:rsidRDefault="00104BDD" w:rsidP="0079654D">
            <w:pPr>
              <w:pStyle w:val="Tabletext"/>
            </w:pPr>
            <w:r w:rsidRPr="007E63D5">
              <w:t>Fruit trees nut trees plantation and berry fruits</w:t>
            </w:r>
          </w:p>
        </w:tc>
        <w:tc>
          <w:tcPr>
            <w:tcW w:w="4252" w:type="dxa"/>
            <w:noWrap/>
            <w:hideMark/>
          </w:tcPr>
          <w:p w14:paraId="6123381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3299DCE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E2C4F5D" w14:textId="77777777" w:rsidR="00104BDD" w:rsidRPr="007E63D5" w:rsidRDefault="00104BDD" w:rsidP="0079654D">
            <w:pPr>
              <w:pStyle w:val="Tabletext"/>
            </w:pPr>
            <w:r w:rsidRPr="007E63D5">
              <w:t>Vegetables for human consumption</w:t>
            </w:r>
          </w:p>
        </w:tc>
        <w:tc>
          <w:tcPr>
            <w:tcW w:w="4252" w:type="dxa"/>
            <w:noWrap/>
            <w:hideMark/>
          </w:tcPr>
          <w:p w14:paraId="54ED671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7909FA6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3BCCFE1" w14:textId="77777777" w:rsidR="00104BDD" w:rsidRPr="007E63D5" w:rsidRDefault="00104BDD" w:rsidP="0079654D">
            <w:pPr>
              <w:pStyle w:val="Tabletext"/>
            </w:pPr>
            <w:r w:rsidRPr="007E63D5">
              <w:t>Nurseries cut flowers and cultivated turf</w:t>
            </w:r>
          </w:p>
        </w:tc>
        <w:tc>
          <w:tcPr>
            <w:tcW w:w="4252" w:type="dxa"/>
            <w:noWrap/>
            <w:hideMark/>
          </w:tcPr>
          <w:p w14:paraId="0D7FC089"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6450C97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ED8D2FC" w14:textId="77777777" w:rsidR="00104BDD" w:rsidRPr="007E63D5" w:rsidRDefault="00104BDD" w:rsidP="0079654D">
            <w:pPr>
              <w:pStyle w:val="Tabletext"/>
            </w:pPr>
            <w:r w:rsidRPr="007E63D5">
              <w:t>Grapevines</w:t>
            </w:r>
          </w:p>
        </w:tc>
        <w:tc>
          <w:tcPr>
            <w:tcW w:w="4252" w:type="dxa"/>
            <w:noWrap/>
            <w:hideMark/>
          </w:tcPr>
          <w:p w14:paraId="2F22C79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Grapevines</w:t>
            </w:r>
          </w:p>
        </w:tc>
      </w:tr>
      <w:tr w:rsidR="00104BDD" w:rsidRPr="009B7A5A" w14:paraId="1267571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A4DEEF7" w14:textId="77777777" w:rsidR="00104BDD" w:rsidRPr="007E63D5" w:rsidRDefault="00104BDD" w:rsidP="0079654D">
            <w:pPr>
              <w:pStyle w:val="Tabletext"/>
            </w:pPr>
            <w:r w:rsidRPr="007E63D5">
              <w:t>Other crops</w:t>
            </w:r>
          </w:p>
        </w:tc>
        <w:tc>
          <w:tcPr>
            <w:tcW w:w="4252" w:type="dxa"/>
            <w:noWrap/>
            <w:hideMark/>
          </w:tcPr>
          <w:p w14:paraId="6AD5428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crops n.e.c.</w:t>
            </w:r>
          </w:p>
        </w:tc>
      </w:tr>
      <w:tr w:rsidR="00104BDD" w:rsidRPr="009B7A5A" w14:paraId="2604B80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1840F67" w14:textId="77777777" w:rsidR="00104BDD" w:rsidRPr="007E63D5" w:rsidRDefault="00104BDD" w:rsidP="0079654D">
            <w:pPr>
              <w:pStyle w:val="Tabletext"/>
            </w:pPr>
            <w:r w:rsidRPr="007E63D5">
              <w:t>Total</w:t>
            </w:r>
          </w:p>
        </w:tc>
        <w:tc>
          <w:tcPr>
            <w:tcW w:w="4252" w:type="dxa"/>
            <w:noWrap/>
            <w:hideMark/>
          </w:tcPr>
          <w:p w14:paraId="624FAF4B"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Total</w:t>
            </w:r>
          </w:p>
        </w:tc>
      </w:tr>
      <w:tr w:rsidR="00104BDD" w:rsidRPr="009B7A5A" w14:paraId="56BA03BE" w14:textId="77777777" w:rsidTr="00104BDD">
        <w:trPr>
          <w:trHeight w:val="31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E14879D" w14:textId="77777777" w:rsidR="00104BDD" w:rsidRPr="007E63D5" w:rsidRDefault="00104BDD" w:rsidP="0079654D">
            <w:pPr>
              <w:pStyle w:val="Tabletext"/>
              <w:rPr>
                <w:rStyle w:val="Bold"/>
              </w:rPr>
            </w:pPr>
            <w:r w:rsidRPr="007E63D5">
              <w:rPr>
                <w:rStyle w:val="Bold"/>
              </w:rPr>
              <w:t>2010-11</w:t>
            </w:r>
            <w:r w:rsidRPr="007E63D5">
              <w:t xml:space="preserve"> </w:t>
            </w:r>
            <w:r w:rsidRPr="007E63D5">
              <w:rPr>
                <w:rStyle w:val="Bold"/>
              </w:rPr>
              <w:t>ABS industry definitions</w:t>
            </w:r>
          </w:p>
        </w:tc>
        <w:tc>
          <w:tcPr>
            <w:tcW w:w="4252" w:type="dxa"/>
            <w:noWrap/>
            <w:hideMark/>
          </w:tcPr>
          <w:p w14:paraId="14A345D0"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E63D5">
              <w:rPr>
                <w:rStyle w:val="Bold"/>
              </w:rPr>
              <w:t>Final labels</w:t>
            </w:r>
          </w:p>
        </w:tc>
      </w:tr>
      <w:tr w:rsidR="00104BDD" w:rsidRPr="009B7A5A" w14:paraId="7EFB211F"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92E7F4B" w14:textId="77777777" w:rsidR="00104BDD" w:rsidRPr="007E63D5" w:rsidRDefault="00104BDD" w:rsidP="0079654D">
            <w:pPr>
              <w:pStyle w:val="Tabletext"/>
            </w:pPr>
            <w:r w:rsidRPr="007E63D5">
              <w:t>Total</w:t>
            </w:r>
          </w:p>
        </w:tc>
        <w:tc>
          <w:tcPr>
            <w:tcW w:w="4252" w:type="dxa"/>
            <w:noWrap/>
            <w:hideMark/>
          </w:tcPr>
          <w:p w14:paraId="47D62FF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Total</w:t>
            </w:r>
          </w:p>
        </w:tc>
      </w:tr>
      <w:tr w:rsidR="00104BDD" w:rsidRPr="009B7A5A" w14:paraId="568CC19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3328EE9" w14:textId="77777777" w:rsidR="00104BDD" w:rsidRPr="007E63D5" w:rsidRDefault="00104BDD" w:rsidP="0079654D">
            <w:pPr>
              <w:pStyle w:val="Tabletext"/>
            </w:pPr>
            <w:r w:rsidRPr="007E63D5">
              <w:t>Pasture for grazing</w:t>
            </w:r>
          </w:p>
        </w:tc>
        <w:tc>
          <w:tcPr>
            <w:tcW w:w="4252" w:type="dxa"/>
            <w:noWrap/>
            <w:hideMark/>
          </w:tcPr>
          <w:p w14:paraId="45A142C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21DE35D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0EB85C9" w14:textId="77777777" w:rsidR="00104BDD" w:rsidRPr="007E63D5" w:rsidRDefault="00104BDD" w:rsidP="0079654D">
            <w:pPr>
              <w:pStyle w:val="Tabletext"/>
            </w:pPr>
            <w:r w:rsidRPr="007E63D5">
              <w:t>Pasture cut for hay</w:t>
            </w:r>
          </w:p>
        </w:tc>
        <w:tc>
          <w:tcPr>
            <w:tcW w:w="4252" w:type="dxa"/>
            <w:noWrap/>
            <w:hideMark/>
          </w:tcPr>
          <w:p w14:paraId="1678583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23ADF65C"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4C4417C" w14:textId="77777777" w:rsidR="00104BDD" w:rsidRPr="007E63D5" w:rsidRDefault="00104BDD" w:rsidP="0079654D">
            <w:pPr>
              <w:pStyle w:val="Tabletext"/>
            </w:pPr>
            <w:r w:rsidRPr="007E63D5">
              <w:t>Pasture for seed</w:t>
            </w:r>
          </w:p>
        </w:tc>
        <w:tc>
          <w:tcPr>
            <w:tcW w:w="4252" w:type="dxa"/>
            <w:noWrap/>
            <w:hideMark/>
          </w:tcPr>
          <w:p w14:paraId="58111DB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416F91D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3D0EB15" w14:textId="77777777" w:rsidR="00104BDD" w:rsidRPr="007E63D5" w:rsidRDefault="00104BDD" w:rsidP="0079654D">
            <w:pPr>
              <w:pStyle w:val="Tabletext"/>
            </w:pPr>
            <w:r w:rsidRPr="007E63D5">
              <w:t>Cereal crops cut for hay</w:t>
            </w:r>
          </w:p>
        </w:tc>
        <w:tc>
          <w:tcPr>
            <w:tcW w:w="4252" w:type="dxa"/>
            <w:noWrap/>
            <w:hideMark/>
          </w:tcPr>
          <w:p w14:paraId="60D75F4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6B13F7CC"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03ADDE3" w14:textId="77777777" w:rsidR="00104BDD" w:rsidRPr="007E63D5" w:rsidRDefault="00104BDD" w:rsidP="0079654D">
            <w:pPr>
              <w:pStyle w:val="Tabletext"/>
            </w:pPr>
            <w:r w:rsidRPr="007E63D5">
              <w:t>Cereal crops for grain or seed</w:t>
            </w:r>
          </w:p>
        </w:tc>
        <w:tc>
          <w:tcPr>
            <w:tcW w:w="4252" w:type="dxa"/>
            <w:noWrap/>
            <w:hideMark/>
          </w:tcPr>
          <w:p w14:paraId="1D5F462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72C0736C"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81649F0" w14:textId="77777777" w:rsidR="00104BDD" w:rsidRPr="007E63D5" w:rsidRDefault="00104BDD" w:rsidP="0079654D">
            <w:pPr>
              <w:pStyle w:val="Tabletext"/>
            </w:pPr>
            <w:r w:rsidRPr="007E63D5">
              <w:t>Rice</w:t>
            </w:r>
          </w:p>
        </w:tc>
        <w:tc>
          <w:tcPr>
            <w:tcW w:w="4252" w:type="dxa"/>
            <w:noWrap/>
            <w:hideMark/>
          </w:tcPr>
          <w:p w14:paraId="0A1F6DB5"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1DC243F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C18D8B0" w14:textId="77777777" w:rsidR="00104BDD" w:rsidRPr="007E63D5" w:rsidRDefault="00104BDD" w:rsidP="0079654D">
            <w:pPr>
              <w:pStyle w:val="Tabletext"/>
            </w:pPr>
            <w:r w:rsidRPr="007E63D5">
              <w:t>Sugar cane</w:t>
            </w:r>
          </w:p>
        </w:tc>
        <w:tc>
          <w:tcPr>
            <w:tcW w:w="4252" w:type="dxa"/>
            <w:noWrap/>
            <w:hideMark/>
          </w:tcPr>
          <w:p w14:paraId="403DCBD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2C3E4793"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0B5FF12" w14:textId="77777777" w:rsidR="00104BDD" w:rsidRPr="007E63D5" w:rsidRDefault="00104BDD" w:rsidP="0079654D">
            <w:pPr>
              <w:pStyle w:val="Tabletext"/>
            </w:pPr>
            <w:r w:rsidRPr="007E63D5">
              <w:t>Cotton</w:t>
            </w:r>
          </w:p>
        </w:tc>
        <w:tc>
          <w:tcPr>
            <w:tcW w:w="4252" w:type="dxa"/>
            <w:noWrap/>
            <w:hideMark/>
          </w:tcPr>
          <w:p w14:paraId="2107330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74AB3D0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C4CA1AD" w14:textId="77777777" w:rsidR="00104BDD" w:rsidRPr="007E63D5" w:rsidRDefault="00104BDD" w:rsidP="0079654D">
            <w:pPr>
              <w:pStyle w:val="Tabletext"/>
            </w:pPr>
            <w:r w:rsidRPr="007E63D5">
              <w:t>Other broadacre crops</w:t>
            </w:r>
          </w:p>
        </w:tc>
        <w:tc>
          <w:tcPr>
            <w:tcW w:w="4252" w:type="dxa"/>
            <w:noWrap/>
            <w:hideMark/>
          </w:tcPr>
          <w:p w14:paraId="52E34A6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61F268CC"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851BC17" w14:textId="77777777" w:rsidR="00104BDD" w:rsidRPr="007E63D5" w:rsidRDefault="00104BDD" w:rsidP="0079654D">
            <w:pPr>
              <w:pStyle w:val="Tabletext"/>
            </w:pPr>
            <w:r w:rsidRPr="007E63D5">
              <w:t>Nurseries, cut flowers and cultivated turf</w:t>
            </w:r>
          </w:p>
        </w:tc>
        <w:tc>
          <w:tcPr>
            <w:tcW w:w="4252" w:type="dxa"/>
            <w:noWrap/>
            <w:hideMark/>
          </w:tcPr>
          <w:p w14:paraId="22A9AA2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2F0F9614"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BAB3BE4" w14:textId="77777777" w:rsidR="00104BDD" w:rsidRPr="007E63D5" w:rsidRDefault="00104BDD" w:rsidP="0079654D">
            <w:pPr>
              <w:pStyle w:val="Tabletext"/>
            </w:pPr>
            <w:r w:rsidRPr="007E63D5">
              <w:t>Fruit trees, nut trees, plantation or berry fruits (excl. grapevines)</w:t>
            </w:r>
          </w:p>
        </w:tc>
        <w:tc>
          <w:tcPr>
            <w:tcW w:w="4252" w:type="dxa"/>
            <w:noWrap/>
            <w:hideMark/>
          </w:tcPr>
          <w:p w14:paraId="6325753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0183350E"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3FD4CD8" w14:textId="77777777" w:rsidR="00104BDD" w:rsidRPr="007E63D5" w:rsidRDefault="00104BDD" w:rsidP="0079654D">
            <w:pPr>
              <w:pStyle w:val="Tabletext"/>
            </w:pPr>
            <w:r w:rsidRPr="007E63D5">
              <w:t>Vegetables for human consumption</w:t>
            </w:r>
          </w:p>
        </w:tc>
        <w:tc>
          <w:tcPr>
            <w:tcW w:w="4252" w:type="dxa"/>
            <w:noWrap/>
            <w:hideMark/>
          </w:tcPr>
          <w:p w14:paraId="2779AA33"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6B7DAA51"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1971B5A" w14:textId="77777777" w:rsidR="00104BDD" w:rsidRPr="007E63D5" w:rsidRDefault="00104BDD" w:rsidP="0079654D">
            <w:pPr>
              <w:pStyle w:val="Tabletext"/>
            </w:pPr>
            <w:r w:rsidRPr="007E63D5">
              <w:t>Vegetables for seed</w:t>
            </w:r>
          </w:p>
        </w:tc>
        <w:tc>
          <w:tcPr>
            <w:tcW w:w="4252" w:type="dxa"/>
            <w:noWrap/>
            <w:hideMark/>
          </w:tcPr>
          <w:p w14:paraId="3D01073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crops n.e.c.</w:t>
            </w:r>
          </w:p>
        </w:tc>
      </w:tr>
      <w:tr w:rsidR="00104BDD" w:rsidRPr="009B7A5A" w14:paraId="26EEA62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EFBE0E8" w14:textId="77777777" w:rsidR="00104BDD" w:rsidRPr="007E63D5" w:rsidRDefault="00104BDD" w:rsidP="0079654D">
            <w:pPr>
              <w:pStyle w:val="Tabletext"/>
            </w:pPr>
            <w:r w:rsidRPr="007E63D5">
              <w:t>Grapevines</w:t>
            </w:r>
          </w:p>
        </w:tc>
        <w:tc>
          <w:tcPr>
            <w:tcW w:w="4252" w:type="dxa"/>
            <w:noWrap/>
            <w:hideMark/>
          </w:tcPr>
          <w:p w14:paraId="2FF00B4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Grapevines</w:t>
            </w:r>
          </w:p>
        </w:tc>
      </w:tr>
      <w:tr w:rsidR="00104BDD" w:rsidRPr="009B7A5A" w14:paraId="1C754FF4" w14:textId="77777777" w:rsidTr="00104BDD">
        <w:trPr>
          <w:trHeight w:val="31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C69C2F9" w14:textId="77777777" w:rsidR="00104BDD" w:rsidRPr="007E63D5" w:rsidRDefault="00104BDD" w:rsidP="0079654D">
            <w:pPr>
              <w:pStyle w:val="Tabletext"/>
              <w:rPr>
                <w:rStyle w:val="Bold"/>
              </w:rPr>
            </w:pPr>
            <w:r w:rsidRPr="0020161C">
              <w:rPr>
                <w:rStyle w:val="Bold"/>
              </w:rPr>
              <w:t>2009-10</w:t>
            </w:r>
            <w:r w:rsidRPr="007E63D5">
              <w:rPr>
                <w:rStyle w:val="Bold"/>
              </w:rPr>
              <w:t xml:space="preserve"> ABS industry definitions</w:t>
            </w:r>
          </w:p>
        </w:tc>
        <w:tc>
          <w:tcPr>
            <w:tcW w:w="4252" w:type="dxa"/>
            <w:noWrap/>
            <w:hideMark/>
          </w:tcPr>
          <w:p w14:paraId="70698DE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E63D5">
              <w:rPr>
                <w:rStyle w:val="Bold"/>
              </w:rPr>
              <w:t>Final labels</w:t>
            </w:r>
          </w:p>
        </w:tc>
      </w:tr>
      <w:tr w:rsidR="00104BDD" w:rsidRPr="009B7A5A" w14:paraId="6798E34E"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B88FB50" w14:textId="77777777" w:rsidR="00104BDD" w:rsidRPr="007E63D5" w:rsidRDefault="00104BDD" w:rsidP="0079654D">
            <w:pPr>
              <w:pStyle w:val="Tabletext"/>
            </w:pPr>
            <w:r w:rsidRPr="007E63D5">
              <w:t>Pasture and cereal crops used for grazing or fed off</w:t>
            </w:r>
          </w:p>
        </w:tc>
        <w:tc>
          <w:tcPr>
            <w:tcW w:w="4252" w:type="dxa"/>
            <w:noWrap/>
            <w:hideMark/>
          </w:tcPr>
          <w:p w14:paraId="311E045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1B65669E"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F550A8A" w14:textId="77777777" w:rsidR="00104BDD" w:rsidRPr="007E63D5" w:rsidRDefault="00104BDD" w:rsidP="0079654D">
            <w:pPr>
              <w:pStyle w:val="Tabletext"/>
            </w:pPr>
            <w:r w:rsidRPr="007E63D5">
              <w:t>Pasture and cereal crops cut for hay</w:t>
            </w:r>
          </w:p>
        </w:tc>
        <w:tc>
          <w:tcPr>
            <w:tcW w:w="4252" w:type="dxa"/>
            <w:noWrap/>
            <w:hideMark/>
          </w:tcPr>
          <w:p w14:paraId="2C823CDB"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72BC132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C1E72B3" w14:textId="77777777" w:rsidR="00104BDD" w:rsidRPr="007E63D5" w:rsidRDefault="00104BDD" w:rsidP="0079654D">
            <w:pPr>
              <w:pStyle w:val="Tabletext"/>
            </w:pPr>
            <w:r w:rsidRPr="007E63D5">
              <w:t>Pasture and cereal crops cut for silage</w:t>
            </w:r>
          </w:p>
        </w:tc>
        <w:tc>
          <w:tcPr>
            <w:tcW w:w="4252" w:type="dxa"/>
            <w:noWrap/>
            <w:hideMark/>
          </w:tcPr>
          <w:p w14:paraId="5722F273"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silage</w:t>
            </w:r>
          </w:p>
        </w:tc>
      </w:tr>
      <w:tr w:rsidR="00104BDD" w:rsidRPr="009B7A5A" w14:paraId="67974E7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4386051" w14:textId="77777777" w:rsidR="00104BDD" w:rsidRPr="007E63D5" w:rsidRDefault="00104BDD" w:rsidP="0079654D">
            <w:pPr>
              <w:pStyle w:val="Tabletext"/>
            </w:pPr>
            <w:r w:rsidRPr="007E63D5">
              <w:t>Rice</w:t>
            </w:r>
          </w:p>
        </w:tc>
        <w:tc>
          <w:tcPr>
            <w:tcW w:w="4252" w:type="dxa"/>
            <w:noWrap/>
            <w:hideMark/>
          </w:tcPr>
          <w:p w14:paraId="71D3DB77"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344AF224"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2AA8E0A" w14:textId="77777777" w:rsidR="00104BDD" w:rsidRPr="007E63D5" w:rsidRDefault="00104BDD" w:rsidP="0079654D">
            <w:pPr>
              <w:pStyle w:val="Tabletext"/>
            </w:pPr>
            <w:r w:rsidRPr="007E63D5">
              <w:t>Other cereals for grain or seed</w:t>
            </w:r>
          </w:p>
        </w:tc>
        <w:tc>
          <w:tcPr>
            <w:tcW w:w="4252" w:type="dxa"/>
            <w:noWrap/>
            <w:hideMark/>
          </w:tcPr>
          <w:p w14:paraId="5417E8C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1EED9FA5"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A38179C" w14:textId="77777777" w:rsidR="00104BDD" w:rsidRPr="007E63D5" w:rsidRDefault="00104BDD" w:rsidP="0079654D">
            <w:pPr>
              <w:pStyle w:val="Tabletext"/>
            </w:pPr>
            <w:r w:rsidRPr="007E63D5">
              <w:t>Cotton</w:t>
            </w:r>
          </w:p>
        </w:tc>
        <w:tc>
          <w:tcPr>
            <w:tcW w:w="4252" w:type="dxa"/>
            <w:noWrap/>
            <w:hideMark/>
          </w:tcPr>
          <w:p w14:paraId="14EE8EEC"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27DA0B2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D12415A" w14:textId="77777777" w:rsidR="00104BDD" w:rsidRPr="007E63D5" w:rsidRDefault="00104BDD" w:rsidP="0079654D">
            <w:pPr>
              <w:pStyle w:val="Tabletext"/>
            </w:pPr>
            <w:r w:rsidRPr="007E63D5">
              <w:lastRenderedPageBreak/>
              <w:t>Sugar cane</w:t>
            </w:r>
          </w:p>
        </w:tc>
        <w:tc>
          <w:tcPr>
            <w:tcW w:w="4252" w:type="dxa"/>
            <w:noWrap/>
            <w:hideMark/>
          </w:tcPr>
          <w:p w14:paraId="6061ED50"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20C26CFF"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2EB9383" w14:textId="77777777" w:rsidR="00104BDD" w:rsidRPr="007E63D5" w:rsidRDefault="00104BDD" w:rsidP="0079654D">
            <w:pPr>
              <w:pStyle w:val="Tabletext"/>
            </w:pPr>
            <w:r w:rsidRPr="007E63D5">
              <w:t>Other broadacre crops</w:t>
            </w:r>
          </w:p>
        </w:tc>
        <w:tc>
          <w:tcPr>
            <w:tcW w:w="4252" w:type="dxa"/>
            <w:noWrap/>
            <w:hideMark/>
          </w:tcPr>
          <w:p w14:paraId="52870472"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5ED7AE3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DDC3579" w14:textId="77777777" w:rsidR="00104BDD" w:rsidRPr="007E63D5" w:rsidRDefault="00104BDD" w:rsidP="0079654D">
            <w:pPr>
              <w:pStyle w:val="Tabletext"/>
            </w:pPr>
            <w:r w:rsidRPr="007E63D5">
              <w:t>Fruit trees, nut trees, plantation or berry fruits</w:t>
            </w:r>
          </w:p>
        </w:tc>
        <w:tc>
          <w:tcPr>
            <w:tcW w:w="4252" w:type="dxa"/>
            <w:noWrap/>
            <w:hideMark/>
          </w:tcPr>
          <w:p w14:paraId="63FC3DB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2CC21DA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343DBBD" w14:textId="77777777" w:rsidR="00104BDD" w:rsidRPr="007E63D5" w:rsidRDefault="00104BDD" w:rsidP="0079654D">
            <w:pPr>
              <w:pStyle w:val="Tabletext"/>
            </w:pPr>
            <w:r w:rsidRPr="007E63D5">
              <w:t>Vegetables for human consumption</w:t>
            </w:r>
          </w:p>
        </w:tc>
        <w:tc>
          <w:tcPr>
            <w:tcW w:w="4252" w:type="dxa"/>
            <w:noWrap/>
            <w:hideMark/>
          </w:tcPr>
          <w:p w14:paraId="2D518E05"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7B20393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DF930BE" w14:textId="77777777" w:rsidR="00104BDD" w:rsidRPr="007E63D5" w:rsidRDefault="00104BDD" w:rsidP="0079654D">
            <w:pPr>
              <w:pStyle w:val="Tabletext"/>
            </w:pPr>
            <w:r w:rsidRPr="007E63D5">
              <w:t>Nurseries, cut flowers and cultivated turf</w:t>
            </w:r>
          </w:p>
        </w:tc>
        <w:tc>
          <w:tcPr>
            <w:tcW w:w="4252" w:type="dxa"/>
            <w:noWrap/>
            <w:hideMark/>
          </w:tcPr>
          <w:p w14:paraId="4BCFBA05"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1058EA75"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E3FE64C" w14:textId="77777777" w:rsidR="00104BDD" w:rsidRPr="007E63D5" w:rsidRDefault="00104BDD" w:rsidP="0079654D">
            <w:pPr>
              <w:pStyle w:val="Tabletext"/>
            </w:pPr>
            <w:r w:rsidRPr="007E63D5">
              <w:t>Grapevines</w:t>
            </w:r>
          </w:p>
        </w:tc>
        <w:tc>
          <w:tcPr>
            <w:tcW w:w="4252" w:type="dxa"/>
            <w:noWrap/>
            <w:hideMark/>
          </w:tcPr>
          <w:p w14:paraId="1472BA1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Grapevines</w:t>
            </w:r>
          </w:p>
        </w:tc>
      </w:tr>
      <w:tr w:rsidR="00104BDD" w:rsidRPr="009B7A5A" w14:paraId="70047EF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E273A89" w14:textId="77777777" w:rsidR="00104BDD" w:rsidRPr="007E63D5" w:rsidRDefault="00104BDD" w:rsidP="0079654D">
            <w:pPr>
              <w:pStyle w:val="Tabletext"/>
            </w:pPr>
            <w:r>
              <w:t>"</w:t>
            </w:r>
            <w:r w:rsidRPr="007E63D5">
              <w:t>2009-10"</w:t>
            </w:r>
          </w:p>
        </w:tc>
        <w:tc>
          <w:tcPr>
            <w:tcW w:w="4252" w:type="dxa"/>
            <w:noWrap/>
            <w:hideMark/>
          </w:tcPr>
          <w:p w14:paraId="01FD5DC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Total</w:t>
            </w:r>
          </w:p>
        </w:tc>
      </w:tr>
      <w:tr w:rsidR="00104BDD" w:rsidRPr="009B7A5A" w14:paraId="15E3FCED" w14:textId="77777777" w:rsidTr="00104BDD">
        <w:trPr>
          <w:trHeight w:val="31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788202D" w14:textId="77777777" w:rsidR="00104BDD" w:rsidRPr="007E63D5" w:rsidRDefault="00104BDD" w:rsidP="0079654D">
            <w:pPr>
              <w:pStyle w:val="Tabletext"/>
              <w:rPr>
                <w:rStyle w:val="Bold"/>
              </w:rPr>
            </w:pPr>
            <w:r w:rsidRPr="0020161C">
              <w:rPr>
                <w:rStyle w:val="Bold"/>
              </w:rPr>
              <w:t>2008-09</w:t>
            </w:r>
            <w:r w:rsidRPr="007E63D5">
              <w:rPr>
                <w:rStyle w:val="Bold"/>
              </w:rPr>
              <w:t xml:space="preserve"> ABS industry definitions</w:t>
            </w:r>
          </w:p>
        </w:tc>
        <w:tc>
          <w:tcPr>
            <w:tcW w:w="4252" w:type="dxa"/>
            <w:noWrap/>
            <w:hideMark/>
          </w:tcPr>
          <w:p w14:paraId="3C4749B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9B7A5A">
              <w:rPr>
                <w:rStyle w:val="Bold"/>
              </w:rPr>
              <w:t>Final labels</w:t>
            </w:r>
          </w:p>
        </w:tc>
      </w:tr>
      <w:tr w:rsidR="00104BDD" w:rsidRPr="009B7A5A" w14:paraId="2E65AA6F"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66AC4D8" w14:textId="77777777" w:rsidR="00104BDD" w:rsidRPr="007E63D5" w:rsidRDefault="00104BDD" w:rsidP="0079654D">
            <w:pPr>
              <w:pStyle w:val="Tabletext"/>
            </w:pPr>
            <w:r w:rsidRPr="007E63D5">
              <w:t>Pasture for grazing</w:t>
            </w:r>
          </w:p>
        </w:tc>
        <w:tc>
          <w:tcPr>
            <w:tcW w:w="4252" w:type="dxa"/>
            <w:noWrap/>
            <w:hideMark/>
          </w:tcPr>
          <w:p w14:paraId="290E8DE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2587698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D4838EC" w14:textId="77777777" w:rsidR="00104BDD" w:rsidRPr="007E63D5" w:rsidRDefault="00104BDD" w:rsidP="0079654D">
            <w:pPr>
              <w:pStyle w:val="Tabletext"/>
            </w:pPr>
            <w:r w:rsidRPr="007E63D5">
              <w:t>Pasture cut for hay</w:t>
            </w:r>
          </w:p>
        </w:tc>
        <w:tc>
          <w:tcPr>
            <w:tcW w:w="4252" w:type="dxa"/>
            <w:noWrap/>
            <w:hideMark/>
          </w:tcPr>
          <w:p w14:paraId="26BC6BFC"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557A0E7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6E7543A" w14:textId="77777777" w:rsidR="00104BDD" w:rsidRPr="007E63D5" w:rsidRDefault="00104BDD" w:rsidP="0079654D">
            <w:pPr>
              <w:pStyle w:val="Tabletext"/>
            </w:pPr>
            <w:r w:rsidRPr="007E63D5">
              <w:t>Pasture cut for silage</w:t>
            </w:r>
          </w:p>
        </w:tc>
        <w:tc>
          <w:tcPr>
            <w:tcW w:w="4252" w:type="dxa"/>
            <w:noWrap/>
            <w:hideMark/>
          </w:tcPr>
          <w:p w14:paraId="03971129"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silage</w:t>
            </w:r>
          </w:p>
        </w:tc>
      </w:tr>
      <w:tr w:rsidR="00104BDD" w:rsidRPr="009B7A5A" w14:paraId="462076FE"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688AF89" w14:textId="77777777" w:rsidR="00104BDD" w:rsidRPr="007E63D5" w:rsidRDefault="00104BDD" w:rsidP="0079654D">
            <w:pPr>
              <w:pStyle w:val="Tabletext"/>
            </w:pPr>
            <w:r w:rsidRPr="007E63D5">
              <w:t>Pasture for seed production</w:t>
            </w:r>
          </w:p>
        </w:tc>
        <w:tc>
          <w:tcPr>
            <w:tcW w:w="4252" w:type="dxa"/>
            <w:noWrap/>
            <w:hideMark/>
          </w:tcPr>
          <w:p w14:paraId="04C2F43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5444913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681B5E7" w14:textId="77777777" w:rsidR="00104BDD" w:rsidRPr="007E63D5" w:rsidRDefault="00104BDD" w:rsidP="0079654D">
            <w:pPr>
              <w:pStyle w:val="Tabletext"/>
            </w:pPr>
            <w:r w:rsidRPr="007E63D5">
              <w:t>Cereal crops cut for hay</w:t>
            </w:r>
          </w:p>
        </w:tc>
        <w:tc>
          <w:tcPr>
            <w:tcW w:w="4252" w:type="dxa"/>
            <w:noWrap/>
            <w:hideMark/>
          </w:tcPr>
          <w:p w14:paraId="192C51A3"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3A1C019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583AAE4" w14:textId="77777777" w:rsidR="00104BDD" w:rsidRPr="007E63D5" w:rsidRDefault="00104BDD" w:rsidP="0079654D">
            <w:pPr>
              <w:pStyle w:val="Tabletext"/>
            </w:pPr>
            <w:r w:rsidRPr="007E63D5">
              <w:t>Cereal crops harvested for grain or seed</w:t>
            </w:r>
          </w:p>
        </w:tc>
        <w:tc>
          <w:tcPr>
            <w:tcW w:w="4252" w:type="dxa"/>
            <w:noWrap/>
            <w:hideMark/>
          </w:tcPr>
          <w:p w14:paraId="073FEAB6"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5B68F5C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F75BD8B" w14:textId="77777777" w:rsidR="00104BDD" w:rsidRPr="007E63D5" w:rsidRDefault="00104BDD" w:rsidP="0079654D">
            <w:pPr>
              <w:pStyle w:val="Tabletext"/>
            </w:pPr>
            <w:r w:rsidRPr="007E63D5">
              <w:t>Cereal crops not harvested for grain seed or cut for hay</w:t>
            </w:r>
          </w:p>
        </w:tc>
        <w:tc>
          <w:tcPr>
            <w:tcW w:w="4252" w:type="dxa"/>
            <w:noWrap/>
            <w:hideMark/>
          </w:tcPr>
          <w:p w14:paraId="42F56679"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616E267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4AA2B4F" w14:textId="77777777" w:rsidR="00104BDD" w:rsidRPr="007E63D5" w:rsidRDefault="00104BDD" w:rsidP="0079654D">
            <w:pPr>
              <w:pStyle w:val="Tabletext"/>
            </w:pPr>
            <w:r w:rsidRPr="007E63D5">
              <w:t>Rice</w:t>
            </w:r>
          </w:p>
        </w:tc>
        <w:tc>
          <w:tcPr>
            <w:tcW w:w="4252" w:type="dxa"/>
            <w:noWrap/>
            <w:hideMark/>
          </w:tcPr>
          <w:p w14:paraId="6F4C693C"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27A8BDD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9C5C2CC" w14:textId="77777777" w:rsidR="00104BDD" w:rsidRPr="007E63D5" w:rsidRDefault="00104BDD" w:rsidP="0079654D">
            <w:pPr>
              <w:pStyle w:val="Tabletext"/>
            </w:pPr>
            <w:r w:rsidRPr="007E63D5">
              <w:t>Sugar cane</w:t>
            </w:r>
          </w:p>
        </w:tc>
        <w:tc>
          <w:tcPr>
            <w:tcW w:w="4252" w:type="dxa"/>
            <w:noWrap/>
            <w:hideMark/>
          </w:tcPr>
          <w:p w14:paraId="12CEEEB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41253D4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F86E4E1" w14:textId="77777777" w:rsidR="00104BDD" w:rsidRPr="007E63D5" w:rsidRDefault="00104BDD" w:rsidP="0079654D">
            <w:pPr>
              <w:pStyle w:val="Tabletext"/>
            </w:pPr>
            <w:r w:rsidRPr="007E63D5">
              <w:t>Cotton</w:t>
            </w:r>
          </w:p>
        </w:tc>
        <w:tc>
          <w:tcPr>
            <w:tcW w:w="4252" w:type="dxa"/>
            <w:noWrap/>
            <w:hideMark/>
          </w:tcPr>
          <w:p w14:paraId="45073912"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70890F5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CABDF06" w14:textId="77777777" w:rsidR="00104BDD" w:rsidRPr="007E63D5" w:rsidRDefault="00104BDD" w:rsidP="0079654D">
            <w:pPr>
              <w:pStyle w:val="Tabletext"/>
            </w:pPr>
            <w:r w:rsidRPr="007E63D5">
              <w:t>Other broadacre crops</w:t>
            </w:r>
          </w:p>
        </w:tc>
        <w:tc>
          <w:tcPr>
            <w:tcW w:w="4252" w:type="dxa"/>
            <w:noWrap/>
            <w:hideMark/>
          </w:tcPr>
          <w:p w14:paraId="7897BF0B"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0DCE3BF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51E70AB" w14:textId="77777777" w:rsidR="00104BDD" w:rsidRPr="007E63D5" w:rsidRDefault="00104BDD" w:rsidP="0079654D">
            <w:pPr>
              <w:pStyle w:val="Tabletext"/>
            </w:pPr>
            <w:r w:rsidRPr="007E63D5">
              <w:t>Fruit trees, nut trees, plantation or berry fruits</w:t>
            </w:r>
          </w:p>
        </w:tc>
        <w:tc>
          <w:tcPr>
            <w:tcW w:w="4252" w:type="dxa"/>
            <w:noWrap/>
            <w:hideMark/>
          </w:tcPr>
          <w:p w14:paraId="0BD537E6"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27DA052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BE00CB0" w14:textId="77777777" w:rsidR="00104BDD" w:rsidRPr="007E63D5" w:rsidRDefault="00104BDD" w:rsidP="0079654D">
            <w:pPr>
              <w:pStyle w:val="Tabletext"/>
            </w:pPr>
            <w:r w:rsidRPr="007E63D5">
              <w:t>Vegetables for human consumption</w:t>
            </w:r>
          </w:p>
        </w:tc>
        <w:tc>
          <w:tcPr>
            <w:tcW w:w="4252" w:type="dxa"/>
            <w:noWrap/>
            <w:hideMark/>
          </w:tcPr>
          <w:p w14:paraId="1D53831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04C32C5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2051258" w14:textId="77777777" w:rsidR="00104BDD" w:rsidRPr="007E63D5" w:rsidRDefault="00104BDD" w:rsidP="0079654D">
            <w:pPr>
              <w:pStyle w:val="Tabletext"/>
            </w:pPr>
            <w:r w:rsidRPr="007E63D5">
              <w:t>Vegetables for seed</w:t>
            </w:r>
          </w:p>
        </w:tc>
        <w:tc>
          <w:tcPr>
            <w:tcW w:w="4252" w:type="dxa"/>
            <w:noWrap/>
            <w:hideMark/>
          </w:tcPr>
          <w:p w14:paraId="479D9DF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crops n.e.c.</w:t>
            </w:r>
          </w:p>
        </w:tc>
      </w:tr>
      <w:tr w:rsidR="00104BDD" w:rsidRPr="009B7A5A" w14:paraId="5090FE14"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E898E67" w14:textId="77777777" w:rsidR="00104BDD" w:rsidRPr="007E63D5" w:rsidRDefault="00104BDD" w:rsidP="0079654D">
            <w:pPr>
              <w:pStyle w:val="Tabletext"/>
            </w:pPr>
            <w:r w:rsidRPr="007E63D5">
              <w:t>Nurseries, cut flowers and cultivated turf</w:t>
            </w:r>
          </w:p>
        </w:tc>
        <w:tc>
          <w:tcPr>
            <w:tcW w:w="4252" w:type="dxa"/>
            <w:noWrap/>
            <w:hideMark/>
          </w:tcPr>
          <w:p w14:paraId="0E28DC1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4462CC15"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5703249" w14:textId="77777777" w:rsidR="00104BDD" w:rsidRPr="007E63D5" w:rsidRDefault="00104BDD" w:rsidP="0079654D">
            <w:pPr>
              <w:pStyle w:val="Tabletext"/>
            </w:pPr>
            <w:r w:rsidRPr="007E63D5">
              <w:t>Grapevines</w:t>
            </w:r>
          </w:p>
        </w:tc>
        <w:tc>
          <w:tcPr>
            <w:tcW w:w="4252" w:type="dxa"/>
            <w:noWrap/>
            <w:hideMark/>
          </w:tcPr>
          <w:p w14:paraId="1C45FF60"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Grapevines</w:t>
            </w:r>
          </w:p>
        </w:tc>
      </w:tr>
      <w:tr w:rsidR="00104BDD" w:rsidRPr="009B7A5A" w14:paraId="029D7D0E"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D3C230A" w14:textId="77777777" w:rsidR="00104BDD" w:rsidRPr="007E63D5" w:rsidRDefault="00104BDD" w:rsidP="0079654D">
            <w:pPr>
              <w:pStyle w:val="Tabletext"/>
            </w:pPr>
            <w:r>
              <w:t>"</w:t>
            </w:r>
            <w:r w:rsidRPr="007E63D5">
              <w:t>2008-09"</w:t>
            </w:r>
          </w:p>
        </w:tc>
        <w:tc>
          <w:tcPr>
            <w:tcW w:w="4252" w:type="dxa"/>
            <w:noWrap/>
            <w:hideMark/>
          </w:tcPr>
          <w:p w14:paraId="2718EF35"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Total</w:t>
            </w:r>
          </w:p>
        </w:tc>
      </w:tr>
      <w:tr w:rsidR="00104BDD" w:rsidRPr="009B7A5A" w14:paraId="4615FFBA" w14:textId="77777777" w:rsidTr="00104BDD">
        <w:trPr>
          <w:trHeight w:val="31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ED3296C" w14:textId="77777777" w:rsidR="00104BDD" w:rsidRPr="007E63D5" w:rsidRDefault="00104BDD" w:rsidP="0079654D">
            <w:pPr>
              <w:pStyle w:val="Tabletext"/>
              <w:rPr>
                <w:rStyle w:val="Bold"/>
              </w:rPr>
            </w:pPr>
            <w:r w:rsidRPr="0020161C">
              <w:rPr>
                <w:rStyle w:val="Bold"/>
              </w:rPr>
              <w:t>2007-08</w:t>
            </w:r>
            <w:r w:rsidRPr="007E63D5">
              <w:rPr>
                <w:rStyle w:val="Bold"/>
              </w:rPr>
              <w:t xml:space="preserve"> ABS industry definitions</w:t>
            </w:r>
          </w:p>
        </w:tc>
        <w:tc>
          <w:tcPr>
            <w:tcW w:w="4252" w:type="dxa"/>
            <w:noWrap/>
            <w:hideMark/>
          </w:tcPr>
          <w:p w14:paraId="35E8FBF0"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9B7A5A">
              <w:rPr>
                <w:rStyle w:val="Bold"/>
              </w:rPr>
              <w:t xml:space="preserve">Final </w:t>
            </w:r>
            <w:r w:rsidRPr="007E63D5">
              <w:rPr>
                <w:rStyle w:val="Bold"/>
              </w:rPr>
              <w:t>labels</w:t>
            </w:r>
          </w:p>
        </w:tc>
      </w:tr>
      <w:tr w:rsidR="00104BDD" w:rsidRPr="009B7A5A" w14:paraId="313472E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5005EBB" w14:textId="77777777" w:rsidR="00104BDD" w:rsidRPr="007E63D5" w:rsidRDefault="00104BDD" w:rsidP="0079654D">
            <w:pPr>
              <w:pStyle w:val="Tabletext"/>
            </w:pPr>
            <w:r w:rsidRPr="007E63D5">
              <w:t>Pasture, cereal and other crops used for grazing</w:t>
            </w:r>
          </w:p>
        </w:tc>
        <w:tc>
          <w:tcPr>
            <w:tcW w:w="4252" w:type="dxa"/>
            <w:noWrap/>
            <w:hideMark/>
          </w:tcPr>
          <w:p w14:paraId="0A3F15D0"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0F4EB851"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429C7F0" w14:textId="77777777" w:rsidR="00104BDD" w:rsidRPr="007E63D5" w:rsidRDefault="00104BDD" w:rsidP="0079654D">
            <w:pPr>
              <w:pStyle w:val="Tabletext"/>
            </w:pPr>
            <w:r w:rsidRPr="007E63D5">
              <w:t>Pasture, cereal and other crops cut for hay</w:t>
            </w:r>
          </w:p>
        </w:tc>
        <w:tc>
          <w:tcPr>
            <w:tcW w:w="4252" w:type="dxa"/>
            <w:noWrap/>
            <w:hideMark/>
          </w:tcPr>
          <w:p w14:paraId="11E813D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7BFE4E3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A01A349" w14:textId="77777777" w:rsidR="00104BDD" w:rsidRPr="007E63D5" w:rsidRDefault="00104BDD" w:rsidP="0079654D">
            <w:pPr>
              <w:pStyle w:val="Tabletext"/>
            </w:pPr>
            <w:r w:rsidRPr="007E63D5">
              <w:t>Pasture, cereal and other crops cut for silage</w:t>
            </w:r>
          </w:p>
        </w:tc>
        <w:tc>
          <w:tcPr>
            <w:tcW w:w="4252" w:type="dxa"/>
            <w:noWrap/>
            <w:hideMark/>
          </w:tcPr>
          <w:p w14:paraId="0BE219A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silage</w:t>
            </w:r>
          </w:p>
        </w:tc>
      </w:tr>
      <w:tr w:rsidR="00104BDD" w:rsidRPr="009B7A5A" w14:paraId="1F76E23C"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60A8EAE" w14:textId="77777777" w:rsidR="00104BDD" w:rsidRPr="007E63D5" w:rsidRDefault="00104BDD" w:rsidP="0079654D">
            <w:pPr>
              <w:pStyle w:val="Tabletext"/>
            </w:pPr>
            <w:r w:rsidRPr="007E63D5">
              <w:t>Rice</w:t>
            </w:r>
          </w:p>
        </w:tc>
        <w:tc>
          <w:tcPr>
            <w:tcW w:w="4252" w:type="dxa"/>
            <w:noWrap/>
            <w:hideMark/>
          </w:tcPr>
          <w:p w14:paraId="3E10A42B"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025D6069"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ED1DEC1" w14:textId="77777777" w:rsidR="00104BDD" w:rsidRPr="007E63D5" w:rsidRDefault="00104BDD" w:rsidP="0079654D">
            <w:pPr>
              <w:pStyle w:val="Tabletext"/>
            </w:pPr>
            <w:r w:rsidRPr="007E63D5">
              <w:t>Other cereals for grain or seed</w:t>
            </w:r>
          </w:p>
        </w:tc>
        <w:tc>
          <w:tcPr>
            <w:tcW w:w="4252" w:type="dxa"/>
            <w:noWrap/>
            <w:hideMark/>
          </w:tcPr>
          <w:p w14:paraId="445B6C7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3E4C977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34858B0" w14:textId="77777777" w:rsidR="00104BDD" w:rsidRPr="007E63D5" w:rsidRDefault="00104BDD" w:rsidP="0079654D">
            <w:pPr>
              <w:pStyle w:val="Tabletext"/>
            </w:pPr>
            <w:r w:rsidRPr="007E63D5">
              <w:t>Cotton</w:t>
            </w:r>
          </w:p>
        </w:tc>
        <w:tc>
          <w:tcPr>
            <w:tcW w:w="4252" w:type="dxa"/>
            <w:noWrap/>
            <w:hideMark/>
          </w:tcPr>
          <w:p w14:paraId="197F28C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3BB23D2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B5C628A" w14:textId="77777777" w:rsidR="00104BDD" w:rsidRPr="007E63D5" w:rsidRDefault="00104BDD" w:rsidP="0079654D">
            <w:pPr>
              <w:pStyle w:val="Tabletext"/>
            </w:pPr>
            <w:r w:rsidRPr="007E63D5">
              <w:t>Sugar cane</w:t>
            </w:r>
          </w:p>
        </w:tc>
        <w:tc>
          <w:tcPr>
            <w:tcW w:w="4252" w:type="dxa"/>
            <w:noWrap/>
            <w:hideMark/>
          </w:tcPr>
          <w:p w14:paraId="423D1097"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5EC50C6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FE017BF" w14:textId="77777777" w:rsidR="00104BDD" w:rsidRPr="007E63D5" w:rsidRDefault="00104BDD" w:rsidP="0079654D">
            <w:pPr>
              <w:pStyle w:val="Tabletext"/>
            </w:pPr>
            <w:r w:rsidRPr="007E63D5">
              <w:t>Other broadacre crops</w:t>
            </w:r>
          </w:p>
        </w:tc>
        <w:tc>
          <w:tcPr>
            <w:tcW w:w="4252" w:type="dxa"/>
            <w:noWrap/>
            <w:hideMark/>
          </w:tcPr>
          <w:p w14:paraId="12FBBE6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7DBB17A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878A23B" w14:textId="77777777" w:rsidR="00104BDD" w:rsidRPr="007E63D5" w:rsidRDefault="00104BDD" w:rsidP="0079654D">
            <w:pPr>
              <w:pStyle w:val="Tabletext"/>
            </w:pPr>
            <w:r w:rsidRPr="007E63D5">
              <w:t>Fruit trees, nut trees, plantation or berry fruits</w:t>
            </w:r>
          </w:p>
        </w:tc>
        <w:tc>
          <w:tcPr>
            <w:tcW w:w="4252" w:type="dxa"/>
            <w:noWrap/>
            <w:hideMark/>
          </w:tcPr>
          <w:p w14:paraId="56F485B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3347CB6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D87F8EE" w14:textId="77777777" w:rsidR="00104BDD" w:rsidRPr="007E63D5" w:rsidRDefault="00104BDD" w:rsidP="0079654D">
            <w:pPr>
              <w:pStyle w:val="Tabletext"/>
            </w:pPr>
            <w:r w:rsidRPr="007E63D5">
              <w:t>Vegetables for human consumption or seed</w:t>
            </w:r>
          </w:p>
        </w:tc>
        <w:tc>
          <w:tcPr>
            <w:tcW w:w="4252" w:type="dxa"/>
            <w:noWrap/>
            <w:hideMark/>
          </w:tcPr>
          <w:p w14:paraId="3465750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20130F36"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4535F9F" w14:textId="77777777" w:rsidR="00104BDD" w:rsidRPr="007E63D5" w:rsidRDefault="00104BDD" w:rsidP="0079654D">
            <w:pPr>
              <w:pStyle w:val="Tabletext"/>
            </w:pPr>
            <w:r w:rsidRPr="007E63D5">
              <w:t>Nurseries, cut flowers and cultivated turf</w:t>
            </w:r>
          </w:p>
        </w:tc>
        <w:tc>
          <w:tcPr>
            <w:tcW w:w="4252" w:type="dxa"/>
            <w:noWrap/>
            <w:hideMark/>
          </w:tcPr>
          <w:p w14:paraId="6D8846D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473238E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63B4165" w14:textId="77777777" w:rsidR="00104BDD" w:rsidRPr="007E63D5" w:rsidRDefault="00104BDD" w:rsidP="0079654D">
            <w:pPr>
              <w:pStyle w:val="Tabletext"/>
            </w:pPr>
            <w:r w:rsidRPr="007E63D5">
              <w:t>Grapevines</w:t>
            </w:r>
          </w:p>
        </w:tc>
        <w:tc>
          <w:tcPr>
            <w:tcW w:w="4252" w:type="dxa"/>
            <w:noWrap/>
            <w:hideMark/>
          </w:tcPr>
          <w:p w14:paraId="7A486AB2" w14:textId="77777777" w:rsidR="00104BDD" w:rsidRPr="00104BDD"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104BDD">
              <w:t>Grapevines</w:t>
            </w:r>
          </w:p>
        </w:tc>
      </w:tr>
      <w:tr w:rsidR="00104BDD" w:rsidRPr="009B7A5A" w14:paraId="1FF7FB00" w14:textId="77777777" w:rsidTr="00104BDD">
        <w:trPr>
          <w:trHeight w:val="31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CBDFB10" w14:textId="77777777" w:rsidR="00104BDD" w:rsidRPr="00B843EB" w:rsidRDefault="00104BDD" w:rsidP="0079654D">
            <w:pPr>
              <w:pStyle w:val="Tabletext"/>
              <w:rPr>
                <w:rStyle w:val="Bold"/>
              </w:rPr>
            </w:pPr>
            <w:r w:rsidRPr="00B843EB">
              <w:rPr>
                <w:rStyle w:val="Bold"/>
              </w:rPr>
              <w:t>2006-07 ABS industry definitions</w:t>
            </w:r>
          </w:p>
        </w:tc>
        <w:tc>
          <w:tcPr>
            <w:tcW w:w="4252" w:type="dxa"/>
            <w:noWrap/>
            <w:hideMark/>
          </w:tcPr>
          <w:p w14:paraId="4F558C66" w14:textId="77777777" w:rsidR="00104BDD" w:rsidRPr="00B843EB" w:rsidRDefault="00104BDD" w:rsidP="007965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B843EB">
              <w:rPr>
                <w:rStyle w:val="Bold"/>
              </w:rPr>
              <w:t>Final labels</w:t>
            </w:r>
          </w:p>
        </w:tc>
      </w:tr>
      <w:tr w:rsidR="00104BDD" w:rsidRPr="009B7A5A" w14:paraId="5C66D38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764EF98" w14:textId="77777777" w:rsidR="00104BDD" w:rsidRPr="007E63D5" w:rsidRDefault="00104BDD" w:rsidP="0079654D">
            <w:pPr>
              <w:pStyle w:val="Tabletext"/>
            </w:pPr>
            <w:r w:rsidRPr="007E63D5">
              <w:t>Pasture for grazing [incl. subcategories]</w:t>
            </w:r>
          </w:p>
        </w:tc>
        <w:tc>
          <w:tcPr>
            <w:tcW w:w="4252" w:type="dxa"/>
            <w:noWrap/>
            <w:hideMark/>
          </w:tcPr>
          <w:p w14:paraId="46483D5C"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32E6F4B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FCDCB77" w14:textId="77777777" w:rsidR="00104BDD" w:rsidRPr="007E63D5" w:rsidRDefault="00104BDD" w:rsidP="0079654D">
            <w:pPr>
              <w:pStyle w:val="Tabletext"/>
            </w:pPr>
            <w:r w:rsidRPr="007E63D5">
              <w:lastRenderedPageBreak/>
              <w:t>Pasture harvested for hay (including lucerne), silage or seed</w:t>
            </w:r>
          </w:p>
        </w:tc>
        <w:tc>
          <w:tcPr>
            <w:tcW w:w="4252" w:type="dxa"/>
            <w:noWrap/>
            <w:hideMark/>
          </w:tcPr>
          <w:p w14:paraId="450383E0"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6417DA2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14760EE" w14:textId="77777777" w:rsidR="00104BDD" w:rsidRPr="007E63D5" w:rsidRDefault="00104BDD" w:rsidP="0079654D">
            <w:pPr>
              <w:pStyle w:val="Tabletext"/>
            </w:pPr>
            <w:r w:rsidRPr="007E63D5">
              <w:t>Cereal crops harvested for grain or seed</w:t>
            </w:r>
          </w:p>
        </w:tc>
        <w:tc>
          <w:tcPr>
            <w:tcW w:w="4252" w:type="dxa"/>
            <w:noWrap/>
            <w:hideMark/>
          </w:tcPr>
          <w:p w14:paraId="0A5E70B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462AD3D1"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219D02F" w14:textId="77777777" w:rsidR="00104BDD" w:rsidRPr="007E63D5" w:rsidRDefault="00104BDD" w:rsidP="0079654D">
            <w:pPr>
              <w:pStyle w:val="Tabletext"/>
            </w:pPr>
            <w:r w:rsidRPr="007E63D5">
              <w:t>Cereal crops cut for hay or for grazing or fed off</w:t>
            </w:r>
          </w:p>
        </w:tc>
        <w:tc>
          <w:tcPr>
            <w:tcW w:w="4252" w:type="dxa"/>
            <w:noWrap/>
            <w:hideMark/>
          </w:tcPr>
          <w:p w14:paraId="33545AC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3ABD488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40CD5C2" w14:textId="77777777" w:rsidR="00104BDD" w:rsidRPr="007E63D5" w:rsidRDefault="00104BDD" w:rsidP="0079654D">
            <w:pPr>
              <w:pStyle w:val="Tabletext"/>
            </w:pPr>
            <w:r w:rsidRPr="007E63D5">
              <w:t>Rice</w:t>
            </w:r>
          </w:p>
        </w:tc>
        <w:tc>
          <w:tcPr>
            <w:tcW w:w="4252" w:type="dxa"/>
            <w:noWrap/>
            <w:hideMark/>
          </w:tcPr>
          <w:p w14:paraId="2B7175B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13CE192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A94C149" w14:textId="77777777" w:rsidR="00104BDD" w:rsidRPr="007E63D5" w:rsidRDefault="00104BDD" w:rsidP="0079654D">
            <w:pPr>
              <w:pStyle w:val="Tabletext"/>
            </w:pPr>
            <w:r w:rsidRPr="007E63D5">
              <w:t>Sugar cane</w:t>
            </w:r>
          </w:p>
        </w:tc>
        <w:tc>
          <w:tcPr>
            <w:tcW w:w="4252" w:type="dxa"/>
            <w:noWrap/>
            <w:hideMark/>
          </w:tcPr>
          <w:p w14:paraId="07C7B742"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02C219E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4A6924D" w14:textId="77777777" w:rsidR="00104BDD" w:rsidRPr="007E63D5" w:rsidRDefault="00104BDD" w:rsidP="0079654D">
            <w:pPr>
              <w:pStyle w:val="Tabletext"/>
            </w:pPr>
            <w:r w:rsidRPr="007E63D5">
              <w:t>Cotton</w:t>
            </w:r>
          </w:p>
        </w:tc>
        <w:tc>
          <w:tcPr>
            <w:tcW w:w="4252" w:type="dxa"/>
            <w:noWrap/>
            <w:hideMark/>
          </w:tcPr>
          <w:p w14:paraId="65477E3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5A6BFA5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B68EB3D" w14:textId="77777777" w:rsidR="00104BDD" w:rsidRPr="007E63D5" w:rsidRDefault="00104BDD" w:rsidP="0079654D">
            <w:pPr>
              <w:pStyle w:val="Tabletext"/>
            </w:pPr>
            <w:r w:rsidRPr="007E63D5">
              <w:t>Other broadacre crops</w:t>
            </w:r>
          </w:p>
        </w:tc>
        <w:tc>
          <w:tcPr>
            <w:tcW w:w="4252" w:type="dxa"/>
            <w:noWrap/>
            <w:hideMark/>
          </w:tcPr>
          <w:p w14:paraId="33157D12"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169C7BF4"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B6F135F" w14:textId="77777777" w:rsidR="00104BDD" w:rsidRPr="007E63D5" w:rsidRDefault="00104BDD" w:rsidP="0079654D">
            <w:pPr>
              <w:pStyle w:val="Tabletext"/>
            </w:pPr>
            <w:r w:rsidRPr="007E63D5">
              <w:t>Fruit trees, nut trees, plantation or berry fruits</w:t>
            </w:r>
          </w:p>
        </w:tc>
        <w:tc>
          <w:tcPr>
            <w:tcW w:w="4252" w:type="dxa"/>
            <w:noWrap/>
            <w:hideMark/>
          </w:tcPr>
          <w:p w14:paraId="6F471FD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2C0E130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C4C1031" w14:textId="77777777" w:rsidR="00104BDD" w:rsidRPr="007E63D5" w:rsidRDefault="00104BDD" w:rsidP="0079654D">
            <w:pPr>
              <w:pStyle w:val="Tabletext"/>
            </w:pPr>
            <w:r w:rsidRPr="007E63D5">
              <w:t>Vegetables for human consumption or seed</w:t>
            </w:r>
          </w:p>
        </w:tc>
        <w:tc>
          <w:tcPr>
            <w:tcW w:w="4252" w:type="dxa"/>
            <w:noWrap/>
            <w:hideMark/>
          </w:tcPr>
          <w:p w14:paraId="5D15E56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1D97777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2FBF9DC" w14:textId="77777777" w:rsidR="00104BDD" w:rsidRPr="007E63D5" w:rsidRDefault="00104BDD" w:rsidP="0079654D">
            <w:pPr>
              <w:pStyle w:val="Tabletext"/>
            </w:pPr>
            <w:r w:rsidRPr="007E63D5">
              <w:t>Nurseries, cutflowers or cultivated turf</w:t>
            </w:r>
          </w:p>
        </w:tc>
        <w:tc>
          <w:tcPr>
            <w:tcW w:w="4252" w:type="dxa"/>
            <w:noWrap/>
            <w:hideMark/>
          </w:tcPr>
          <w:p w14:paraId="07AD475D"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532A43D9"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6CF621B" w14:textId="77777777" w:rsidR="00104BDD" w:rsidRPr="007E63D5" w:rsidRDefault="00104BDD" w:rsidP="0079654D">
            <w:pPr>
              <w:pStyle w:val="Tabletext"/>
            </w:pPr>
            <w:r w:rsidRPr="007E63D5">
              <w:t>Grapevines</w:t>
            </w:r>
          </w:p>
        </w:tc>
        <w:tc>
          <w:tcPr>
            <w:tcW w:w="4252" w:type="dxa"/>
            <w:noWrap/>
            <w:hideMark/>
          </w:tcPr>
          <w:p w14:paraId="6CF37707"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Grapevines</w:t>
            </w:r>
          </w:p>
        </w:tc>
      </w:tr>
      <w:tr w:rsidR="00104BDD" w:rsidRPr="009B7A5A" w14:paraId="5740F9A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779C2DC" w14:textId="77777777" w:rsidR="00104BDD" w:rsidRPr="007E63D5" w:rsidRDefault="00104BDD" w:rsidP="0079654D">
            <w:pPr>
              <w:pStyle w:val="Tabletext"/>
            </w:pPr>
            <w:r w:rsidRPr="0020161C">
              <w:rPr>
                <w:rStyle w:val="Bold"/>
              </w:rPr>
              <w:t>2005-06 ABS industry definitions</w:t>
            </w:r>
          </w:p>
        </w:tc>
        <w:tc>
          <w:tcPr>
            <w:tcW w:w="4252" w:type="dxa"/>
            <w:noWrap/>
            <w:hideMark/>
          </w:tcPr>
          <w:p w14:paraId="35354265"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9B7A5A">
              <w:rPr>
                <w:rStyle w:val="Bold"/>
              </w:rPr>
              <w:t>Final labels</w:t>
            </w:r>
          </w:p>
        </w:tc>
      </w:tr>
      <w:tr w:rsidR="00104BDD" w:rsidRPr="009B7A5A" w14:paraId="67A974D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2B74BA5" w14:textId="77777777" w:rsidR="00104BDD" w:rsidRPr="007E63D5" w:rsidRDefault="00104BDD" w:rsidP="0079654D">
            <w:pPr>
              <w:pStyle w:val="Tabletext"/>
            </w:pPr>
            <w:r w:rsidRPr="007E63D5">
              <w:t>Cereal crops cut for hay</w:t>
            </w:r>
          </w:p>
        </w:tc>
        <w:tc>
          <w:tcPr>
            <w:tcW w:w="4252" w:type="dxa"/>
            <w:noWrap/>
            <w:hideMark/>
          </w:tcPr>
          <w:p w14:paraId="7CDDE50F"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111BDC43"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AF4812C" w14:textId="77777777" w:rsidR="00104BDD" w:rsidRPr="007E63D5" w:rsidRDefault="00104BDD" w:rsidP="0079654D">
            <w:pPr>
              <w:pStyle w:val="Tabletext"/>
            </w:pPr>
            <w:r w:rsidRPr="007E63D5">
              <w:t>Cereal crops for grain or seed</w:t>
            </w:r>
          </w:p>
        </w:tc>
        <w:tc>
          <w:tcPr>
            <w:tcW w:w="4252" w:type="dxa"/>
            <w:noWrap/>
            <w:hideMark/>
          </w:tcPr>
          <w:p w14:paraId="410C54B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4D32A497" w14:textId="77777777" w:rsidTr="00104BDD">
        <w:trPr>
          <w:trHeight w:val="31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4DDA4A5" w14:textId="77777777" w:rsidR="00104BDD" w:rsidRPr="007E63D5" w:rsidRDefault="00104BDD" w:rsidP="0079654D">
            <w:pPr>
              <w:pStyle w:val="Tabletext"/>
              <w:rPr>
                <w:rStyle w:val="Bold"/>
              </w:rPr>
            </w:pPr>
            <w:r w:rsidRPr="007E63D5">
              <w:t>Cereal crops not for grain or seed</w:t>
            </w:r>
          </w:p>
        </w:tc>
        <w:tc>
          <w:tcPr>
            <w:tcW w:w="4252" w:type="dxa"/>
            <w:noWrap/>
            <w:hideMark/>
          </w:tcPr>
          <w:p w14:paraId="76023185"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rPr>
                <w:rStyle w:val="Bold"/>
              </w:rPr>
            </w:pPr>
            <w:r w:rsidRPr="007E63D5">
              <w:t>Pastures and cereal for grazing</w:t>
            </w:r>
          </w:p>
        </w:tc>
      </w:tr>
      <w:tr w:rsidR="00104BDD" w:rsidRPr="009B7A5A" w14:paraId="4258590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AE116A3" w14:textId="77777777" w:rsidR="00104BDD" w:rsidRPr="007E63D5" w:rsidRDefault="00104BDD" w:rsidP="0079654D">
            <w:pPr>
              <w:pStyle w:val="Tabletext"/>
            </w:pPr>
            <w:r w:rsidRPr="007E63D5">
              <w:t>Cotton</w:t>
            </w:r>
          </w:p>
        </w:tc>
        <w:tc>
          <w:tcPr>
            <w:tcW w:w="4252" w:type="dxa"/>
            <w:noWrap/>
            <w:hideMark/>
          </w:tcPr>
          <w:p w14:paraId="182E46A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Cotton</w:t>
            </w:r>
          </w:p>
        </w:tc>
      </w:tr>
      <w:tr w:rsidR="00104BDD" w:rsidRPr="009B7A5A" w14:paraId="7FD4FBDF"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25CCA92" w14:textId="77777777" w:rsidR="00104BDD" w:rsidRPr="007E63D5" w:rsidRDefault="00104BDD" w:rsidP="0079654D">
            <w:pPr>
              <w:pStyle w:val="Tabletext"/>
            </w:pPr>
            <w:r w:rsidRPr="007E63D5">
              <w:t>Fruit trees, nut trees, plantation or berry fruits</w:t>
            </w:r>
          </w:p>
        </w:tc>
        <w:tc>
          <w:tcPr>
            <w:tcW w:w="4252" w:type="dxa"/>
            <w:noWrap/>
            <w:hideMark/>
          </w:tcPr>
          <w:p w14:paraId="4CD41922"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Fruit trees, nut trees, plantation or berry fruits</w:t>
            </w:r>
          </w:p>
        </w:tc>
      </w:tr>
      <w:tr w:rsidR="00104BDD" w:rsidRPr="009B7A5A" w14:paraId="0A5738D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8CFA801" w14:textId="77777777" w:rsidR="00104BDD" w:rsidRPr="007E63D5" w:rsidRDefault="00104BDD" w:rsidP="0079654D">
            <w:pPr>
              <w:pStyle w:val="Tabletext"/>
            </w:pPr>
            <w:r w:rsidRPr="007E63D5">
              <w:t>Grapevines</w:t>
            </w:r>
          </w:p>
        </w:tc>
        <w:tc>
          <w:tcPr>
            <w:tcW w:w="4252" w:type="dxa"/>
            <w:noWrap/>
            <w:hideMark/>
          </w:tcPr>
          <w:p w14:paraId="416CE9E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Grapevines</w:t>
            </w:r>
          </w:p>
        </w:tc>
      </w:tr>
      <w:tr w:rsidR="00104BDD" w:rsidRPr="009B7A5A" w14:paraId="73510C13"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F2B45E0" w14:textId="77777777" w:rsidR="00104BDD" w:rsidRPr="007E63D5" w:rsidRDefault="00104BDD" w:rsidP="0079654D">
            <w:pPr>
              <w:pStyle w:val="Tabletext"/>
            </w:pPr>
            <w:r w:rsidRPr="007E63D5">
              <w:t>Nurseries, cutflowers or cultivated turf</w:t>
            </w:r>
          </w:p>
        </w:tc>
        <w:tc>
          <w:tcPr>
            <w:tcW w:w="4252" w:type="dxa"/>
            <w:noWrap/>
            <w:hideMark/>
          </w:tcPr>
          <w:p w14:paraId="4A2472B3"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Nurseries, cut flowers and cultivated turf</w:t>
            </w:r>
          </w:p>
        </w:tc>
      </w:tr>
      <w:tr w:rsidR="00104BDD" w:rsidRPr="009B7A5A" w14:paraId="56B2C07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74926F2" w14:textId="77777777" w:rsidR="00104BDD" w:rsidRPr="007E63D5" w:rsidRDefault="00104BDD" w:rsidP="0079654D">
            <w:pPr>
              <w:pStyle w:val="Tabletext"/>
            </w:pPr>
            <w:r w:rsidRPr="007E63D5">
              <w:t>Other broadacre crops</w:t>
            </w:r>
          </w:p>
        </w:tc>
        <w:tc>
          <w:tcPr>
            <w:tcW w:w="4252" w:type="dxa"/>
            <w:noWrap/>
            <w:hideMark/>
          </w:tcPr>
          <w:p w14:paraId="1C67D713"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broadacre crops</w:t>
            </w:r>
          </w:p>
        </w:tc>
      </w:tr>
      <w:tr w:rsidR="00104BDD" w:rsidRPr="009B7A5A" w14:paraId="6C3E3C6B"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28EFA97" w14:textId="77777777" w:rsidR="00104BDD" w:rsidRPr="007E63D5" w:rsidRDefault="00104BDD" w:rsidP="0079654D">
            <w:pPr>
              <w:pStyle w:val="Tabletext"/>
            </w:pPr>
            <w:r w:rsidRPr="007E63D5">
              <w:t>Other crops</w:t>
            </w:r>
          </w:p>
        </w:tc>
        <w:tc>
          <w:tcPr>
            <w:tcW w:w="4252" w:type="dxa"/>
            <w:noWrap/>
            <w:hideMark/>
          </w:tcPr>
          <w:p w14:paraId="62302668"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crops n.e.c.</w:t>
            </w:r>
          </w:p>
        </w:tc>
      </w:tr>
      <w:tr w:rsidR="00104BDD" w:rsidRPr="009B7A5A" w14:paraId="1CD66435"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AA0D081" w14:textId="77777777" w:rsidR="00104BDD" w:rsidRPr="007E63D5" w:rsidRDefault="00104BDD" w:rsidP="0079654D">
            <w:pPr>
              <w:pStyle w:val="Tabletext"/>
            </w:pPr>
            <w:r w:rsidRPr="007E63D5">
              <w:t>Pasture for grazing</w:t>
            </w:r>
          </w:p>
        </w:tc>
        <w:tc>
          <w:tcPr>
            <w:tcW w:w="4252" w:type="dxa"/>
            <w:noWrap/>
            <w:hideMark/>
          </w:tcPr>
          <w:p w14:paraId="766BB39C"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grazing</w:t>
            </w:r>
          </w:p>
        </w:tc>
      </w:tr>
      <w:tr w:rsidR="00104BDD" w:rsidRPr="009B7A5A" w14:paraId="4015BCD2"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67CEF488" w14:textId="77777777" w:rsidR="00104BDD" w:rsidRPr="007E63D5" w:rsidRDefault="00104BDD" w:rsidP="0079654D">
            <w:pPr>
              <w:pStyle w:val="Tabletext"/>
            </w:pPr>
            <w:r w:rsidRPr="007E63D5">
              <w:t>Pasture for hay and silage</w:t>
            </w:r>
          </w:p>
        </w:tc>
        <w:tc>
          <w:tcPr>
            <w:tcW w:w="4252" w:type="dxa"/>
            <w:noWrap/>
            <w:hideMark/>
          </w:tcPr>
          <w:p w14:paraId="0987F6DA"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Pastures and cereal for hay</w:t>
            </w:r>
          </w:p>
        </w:tc>
      </w:tr>
      <w:tr w:rsidR="00104BDD" w:rsidRPr="009B7A5A" w14:paraId="2A5CEB5E"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CF9A3E6" w14:textId="77777777" w:rsidR="00104BDD" w:rsidRPr="007E63D5" w:rsidRDefault="00104BDD" w:rsidP="0079654D">
            <w:pPr>
              <w:pStyle w:val="Tabletext"/>
            </w:pPr>
            <w:r w:rsidRPr="007E63D5">
              <w:t>Pasture for seed production</w:t>
            </w:r>
          </w:p>
        </w:tc>
        <w:tc>
          <w:tcPr>
            <w:tcW w:w="4252" w:type="dxa"/>
            <w:noWrap/>
            <w:hideMark/>
          </w:tcPr>
          <w:p w14:paraId="30117FB4"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cereals for grain or seed</w:t>
            </w:r>
          </w:p>
        </w:tc>
      </w:tr>
      <w:tr w:rsidR="00104BDD" w:rsidRPr="009B7A5A" w14:paraId="22C3B55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9BE39DB" w14:textId="77777777" w:rsidR="00104BDD" w:rsidRPr="007E63D5" w:rsidRDefault="00104BDD" w:rsidP="0079654D">
            <w:pPr>
              <w:pStyle w:val="Tabletext"/>
            </w:pPr>
            <w:r w:rsidRPr="007E63D5">
              <w:t>Rice</w:t>
            </w:r>
          </w:p>
        </w:tc>
        <w:tc>
          <w:tcPr>
            <w:tcW w:w="4252" w:type="dxa"/>
            <w:noWrap/>
            <w:hideMark/>
          </w:tcPr>
          <w:p w14:paraId="21BE760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Rice</w:t>
            </w:r>
          </w:p>
        </w:tc>
      </w:tr>
      <w:tr w:rsidR="00104BDD" w:rsidRPr="009B7A5A" w14:paraId="10DD2D9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911155C" w14:textId="77777777" w:rsidR="00104BDD" w:rsidRPr="007E63D5" w:rsidRDefault="00104BDD" w:rsidP="0079654D">
            <w:pPr>
              <w:pStyle w:val="Tabletext"/>
            </w:pPr>
            <w:r w:rsidRPr="007E63D5">
              <w:t>Sugar cane</w:t>
            </w:r>
          </w:p>
        </w:tc>
        <w:tc>
          <w:tcPr>
            <w:tcW w:w="4252" w:type="dxa"/>
            <w:noWrap/>
            <w:hideMark/>
          </w:tcPr>
          <w:p w14:paraId="2F6D5831"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Sugar cane</w:t>
            </w:r>
          </w:p>
        </w:tc>
      </w:tr>
      <w:tr w:rsidR="00104BDD" w:rsidRPr="009B7A5A" w14:paraId="23FFC68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02BA366" w14:textId="77777777" w:rsidR="00104BDD" w:rsidRPr="007E63D5" w:rsidRDefault="00104BDD" w:rsidP="0079654D">
            <w:pPr>
              <w:pStyle w:val="Tabletext"/>
            </w:pPr>
            <w:r w:rsidRPr="007E63D5">
              <w:t>Vegetables for human consumption</w:t>
            </w:r>
          </w:p>
        </w:tc>
        <w:tc>
          <w:tcPr>
            <w:tcW w:w="4252" w:type="dxa"/>
            <w:noWrap/>
            <w:hideMark/>
          </w:tcPr>
          <w:p w14:paraId="75283ED7"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Vegetables for human consumption</w:t>
            </w:r>
          </w:p>
        </w:tc>
      </w:tr>
      <w:tr w:rsidR="00104BDD" w:rsidRPr="009B7A5A" w14:paraId="3F078B5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670E039" w14:textId="77777777" w:rsidR="00104BDD" w:rsidRPr="007E63D5" w:rsidRDefault="00104BDD" w:rsidP="0079654D">
            <w:pPr>
              <w:pStyle w:val="Tabletext"/>
            </w:pPr>
            <w:r w:rsidRPr="007E63D5">
              <w:t>Vegetables for seed</w:t>
            </w:r>
          </w:p>
        </w:tc>
        <w:tc>
          <w:tcPr>
            <w:tcW w:w="4252" w:type="dxa"/>
            <w:noWrap/>
            <w:hideMark/>
          </w:tcPr>
          <w:p w14:paraId="5356ABBE" w14:textId="77777777" w:rsidR="00104BDD" w:rsidRPr="007E63D5" w:rsidRDefault="00104BDD" w:rsidP="0079654D">
            <w:pPr>
              <w:pStyle w:val="Tabletext"/>
              <w:cnfStyle w:val="000000000000" w:firstRow="0" w:lastRow="0" w:firstColumn="0" w:lastColumn="0" w:oddVBand="0" w:evenVBand="0" w:oddHBand="0" w:evenHBand="0" w:firstRowFirstColumn="0" w:firstRowLastColumn="0" w:lastRowFirstColumn="0" w:lastRowLastColumn="0"/>
            </w:pPr>
            <w:r w:rsidRPr="007E63D5">
              <w:t>Other crops n.e.c.</w:t>
            </w:r>
          </w:p>
        </w:tc>
      </w:tr>
    </w:tbl>
    <w:p w14:paraId="1F7950FD" w14:textId="77777777" w:rsidR="00104BDD" w:rsidRPr="00104BDD" w:rsidRDefault="00104BDD" w:rsidP="00104BDD">
      <w:pPr>
        <w:pStyle w:val="BodyText1"/>
      </w:pPr>
    </w:p>
    <w:p w14:paraId="0C24BF39" w14:textId="77777777" w:rsidR="00104BDD" w:rsidRPr="003F3F1B" w:rsidRDefault="00104BDD" w:rsidP="00104BDD">
      <w:pPr>
        <w:pStyle w:val="Heading3"/>
      </w:pPr>
      <w:r w:rsidRPr="003F3F1B">
        <w:t xml:space="preserve">Apportioning </w:t>
      </w:r>
      <w:r>
        <w:t xml:space="preserve">ABS NRM regional </w:t>
      </w:r>
      <w:r w:rsidRPr="00635B85">
        <w:t>data</w:t>
      </w:r>
    </w:p>
    <w:p w14:paraId="78C8A1DB" w14:textId="77777777" w:rsidR="00104BDD" w:rsidRDefault="00104BDD" w:rsidP="00104BDD">
      <w:r w:rsidRPr="00F34A8D">
        <w:t xml:space="preserve">ABS water use and land use data is </w:t>
      </w:r>
      <w:r>
        <w:t>publically available</w:t>
      </w:r>
      <w:r w:rsidRPr="00F34A8D">
        <w:t xml:space="preserve"> by NRM region. </w:t>
      </w:r>
      <w:r>
        <w:t>ABARES apportioned this data into regions used in the water trade model</w:t>
      </w:r>
    </w:p>
    <w:p w14:paraId="43F63895" w14:textId="77777777" w:rsidR="00104BDD" w:rsidRDefault="00104BDD" w:rsidP="00104BDD">
      <w:pPr>
        <w:pStyle w:val="Heading4"/>
      </w:pPr>
      <w:r>
        <w:t>Changes in NRM boundaries</w:t>
      </w:r>
    </w:p>
    <w:p w14:paraId="57E586DE" w14:textId="77777777" w:rsidR="00104BDD" w:rsidRDefault="00104BDD" w:rsidP="00104BDD">
      <w:r w:rsidRPr="00F34A8D">
        <w:t xml:space="preserve">The NRM regions used by the ABS change over time. </w:t>
      </w:r>
      <w:r>
        <w:t>To apportion the ABS NRM regional data into water trade model regions, the following NRM boundaries were used for ABS water and land use data:</w:t>
      </w:r>
    </w:p>
    <w:p w14:paraId="1B73CB37" w14:textId="77777777" w:rsidR="00104BDD" w:rsidRDefault="00104BDD" w:rsidP="00C67DD0">
      <w:pPr>
        <w:pStyle w:val="Bulletlist-level2"/>
        <w:numPr>
          <w:ilvl w:val="1"/>
          <w:numId w:val="16"/>
        </w:numPr>
      </w:pPr>
      <w:r>
        <w:t>2008 NRM boundaries for the years 2007–08, 2008–09, 2009–10, 2010–11 and 2011–12;</w:t>
      </w:r>
    </w:p>
    <w:p w14:paraId="4447CB48" w14:textId="77777777" w:rsidR="00104BDD" w:rsidRDefault="00104BDD" w:rsidP="00C67DD0">
      <w:pPr>
        <w:pStyle w:val="Bulletlist-level2"/>
        <w:numPr>
          <w:ilvl w:val="1"/>
          <w:numId w:val="16"/>
        </w:numPr>
      </w:pPr>
      <w:r>
        <w:t>2010 NRM boundaries for the year 2012–13;</w:t>
      </w:r>
    </w:p>
    <w:p w14:paraId="114E5BE1" w14:textId="77777777" w:rsidR="00104BDD" w:rsidRDefault="00104BDD" w:rsidP="00C67DD0">
      <w:pPr>
        <w:pStyle w:val="Bulletlist-level2"/>
        <w:numPr>
          <w:ilvl w:val="1"/>
          <w:numId w:val="16"/>
        </w:numPr>
      </w:pPr>
      <w:r>
        <w:t>2012 NRM boundaries for the years 2013–14, 2014–15 and 2015–16.</w:t>
      </w:r>
    </w:p>
    <w:p w14:paraId="06278E99" w14:textId="77777777" w:rsidR="00104BDD" w:rsidRDefault="00104BDD" w:rsidP="00104BDD">
      <w:r w:rsidRPr="00635B85">
        <w:lastRenderedPageBreak/>
        <w:t xml:space="preserve">The only significant change between these regions is the dissolving of the Lower Murray Darling NRM region which does not appear in the 2012 boundaries and is largely replaced with the Western NRM region. </w:t>
      </w:r>
    </w:p>
    <w:p w14:paraId="36963E7A" w14:textId="77777777" w:rsidR="00104BDD" w:rsidRDefault="00104BDD" w:rsidP="00104BDD">
      <w:pPr>
        <w:pStyle w:val="Heading4"/>
      </w:pPr>
      <w:r>
        <w:t>Methodology for apportioning NRM data</w:t>
      </w:r>
    </w:p>
    <w:p w14:paraId="3CE79F51" w14:textId="77777777" w:rsidR="00104BDD" w:rsidRDefault="00104BDD" w:rsidP="00104BDD">
      <w:r w:rsidRPr="007801AF">
        <w:t xml:space="preserve">The values are calculated from the concordances of NRM regions to the regions used in the water trade model. The proportion of total irrigated area </w:t>
      </w:r>
      <w:r>
        <w:t>in a NRM region (a</w:t>
      </w:r>
      <w:r w:rsidRPr="007801AF">
        <w:t>ccording to the NLUM/CLUM areas for the relevant year</w:t>
      </w:r>
      <w:r>
        <w:t xml:space="preserve">) that overlaps with each water trade model region is calculated. </w:t>
      </w:r>
      <w:r w:rsidRPr="007801AF">
        <w:t>Similar proportions are calculated for irrigated cropping area, irrigated horticultural area and irrigated pasture area for each of the 2008, 2010 and 2012 NRM regional boundaries.</w:t>
      </w:r>
    </w:p>
    <w:p w14:paraId="1CD7CDD4" w14:textId="77777777" w:rsidR="00104BDD" w:rsidRDefault="00104BDD" w:rsidP="00104BDD">
      <w:r>
        <w:t xml:space="preserve">As an example, the 2012 concordances are listed in </w:t>
      </w:r>
      <w:r w:rsidR="003141BF">
        <w:fldChar w:fldCharType="begin"/>
      </w:r>
      <w:r w:rsidR="003141BF">
        <w:instrText xml:space="preserve"> REF _Ref493084307 \h </w:instrText>
      </w:r>
      <w:r w:rsidR="003141BF">
        <w:fldChar w:fldCharType="separate"/>
      </w:r>
      <w:r w:rsidR="00F709AB">
        <w:t>Table A</w:t>
      </w:r>
      <w:r w:rsidR="00F709AB">
        <w:rPr>
          <w:noProof/>
        </w:rPr>
        <w:t>5</w:t>
      </w:r>
      <w:r w:rsidR="003141BF">
        <w:fldChar w:fldCharType="end"/>
      </w:r>
      <w:r w:rsidR="003141BF">
        <w:t xml:space="preserve"> </w:t>
      </w:r>
      <w:r>
        <w:t>where the percentages indicate the proportion of water and land use in each NRM region that is captured in each water trade model region.</w:t>
      </w:r>
    </w:p>
    <w:p w14:paraId="1E000AF8" w14:textId="77777777" w:rsidR="00104BDD" w:rsidRDefault="00104BDD" w:rsidP="00104BDD">
      <w:r>
        <w:t xml:space="preserve">Irrigation activities (as defined in </w:t>
      </w:r>
      <w:r>
        <w:fldChar w:fldCharType="begin"/>
      </w:r>
      <w:r>
        <w:instrText xml:space="preserve"> REF _Ref484529243 \h </w:instrText>
      </w:r>
      <w:r>
        <w:fldChar w:fldCharType="separate"/>
      </w:r>
      <w:r w:rsidR="00F709AB">
        <w:t>Table A</w:t>
      </w:r>
      <w:r w:rsidR="00F709AB">
        <w:rPr>
          <w:noProof/>
        </w:rPr>
        <w:t>3</w:t>
      </w:r>
      <w:r>
        <w:fldChar w:fldCharType="end"/>
      </w:r>
      <w:r>
        <w:t>) were mapped to NLUM/CLUM land use categories as follows:</w:t>
      </w:r>
    </w:p>
    <w:p w14:paraId="02B1947B" w14:textId="77777777" w:rsidR="00104BDD" w:rsidRDefault="00104BDD" w:rsidP="00C67DD0">
      <w:pPr>
        <w:pStyle w:val="Bulletlist-level2"/>
        <w:numPr>
          <w:ilvl w:val="1"/>
          <w:numId w:val="16"/>
        </w:numPr>
      </w:pPr>
      <w:r>
        <w:t>Cotton - irrigated cropping area,</w:t>
      </w:r>
    </w:p>
    <w:p w14:paraId="7199D1A0" w14:textId="77777777" w:rsidR="00104BDD" w:rsidRDefault="00104BDD" w:rsidP="00C67DD0">
      <w:pPr>
        <w:pStyle w:val="Bulletlist-level2"/>
        <w:numPr>
          <w:ilvl w:val="1"/>
          <w:numId w:val="16"/>
        </w:numPr>
      </w:pPr>
      <w:r>
        <w:t>Other broadacre - irrigated cropping area,</w:t>
      </w:r>
    </w:p>
    <w:p w14:paraId="350BE801" w14:textId="77777777" w:rsidR="00104BDD" w:rsidRDefault="00104BDD" w:rsidP="00C67DD0">
      <w:pPr>
        <w:pStyle w:val="Bulletlist-level2"/>
        <w:numPr>
          <w:ilvl w:val="1"/>
          <w:numId w:val="16"/>
        </w:numPr>
      </w:pPr>
      <w:r>
        <w:t>Other cereals - irrigated cropping area,</w:t>
      </w:r>
    </w:p>
    <w:p w14:paraId="24D0491A" w14:textId="77777777" w:rsidR="00104BDD" w:rsidRDefault="00104BDD" w:rsidP="00C67DD0">
      <w:pPr>
        <w:pStyle w:val="Bulletlist-level2"/>
        <w:numPr>
          <w:ilvl w:val="1"/>
          <w:numId w:val="16"/>
        </w:numPr>
      </w:pPr>
      <w:r>
        <w:t>Other crops - irrigated cropping area,</w:t>
      </w:r>
    </w:p>
    <w:p w14:paraId="65914302" w14:textId="77777777" w:rsidR="00104BDD" w:rsidRDefault="00104BDD" w:rsidP="00C67DD0">
      <w:pPr>
        <w:pStyle w:val="Bulletlist-level2"/>
        <w:numPr>
          <w:ilvl w:val="1"/>
          <w:numId w:val="16"/>
        </w:numPr>
      </w:pPr>
      <w:r>
        <w:t>Rice - irrigated cropping area,</w:t>
      </w:r>
    </w:p>
    <w:p w14:paraId="10C49865" w14:textId="77777777" w:rsidR="00104BDD" w:rsidRDefault="00104BDD" w:rsidP="00C67DD0">
      <w:pPr>
        <w:pStyle w:val="Bulletlist-level2"/>
        <w:numPr>
          <w:ilvl w:val="1"/>
          <w:numId w:val="16"/>
        </w:numPr>
      </w:pPr>
      <w:r>
        <w:t>Fruit - irrigated horticultural area,</w:t>
      </w:r>
    </w:p>
    <w:p w14:paraId="6117070C" w14:textId="77777777" w:rsidR="00104BDD" w:rsidRDefault="00104BDD" w:rsidP="00C67DD0">
      <w:pPr>
        <w:pStyle w:val="Bulletlist-level2"/>
        <w:numPr>
          <w:ilvl w:val="1"/>
          <w:numId w:val="16"/>
        </w:numPr>
      </w:pPr>
      <w:r>
        <w:t>Grapevines - irrigated horticultural area,</w:t>
      </w:r>
    </w:p>
    <w:p w14:paraId="4B764594" w14:textId="77777777" w:rsidR="00104BDD" w:rsidRDefault="00104BDD" w:rsidP="00C67DD0">
      <w:pPr>
        <w:pStyle w:val="Bulletlist-level2"/>
        <w:numPr>
          <w:ilvl w:val="1"/>
          <w:numId w:val="16"/>
        </w:numPr>
      </w:pPr>
      <w:r>
        <w:t>Vegetables - irrigated horticultural area,</w:t>
      </w:r>
    </w:p>
    <w:p w14:paraId="13582007" w14:textId="77777777" w:rsidR="00104BDD" w:rsidRDefault="00104BDD" w:rsidP="00C67DD0">
      <w:pPr>
        <w:pStyle w:val="Bulletlist-level2"/>
        <w:numPr>
          <w:ilvl w:val="1"/>
          <w:numId w:val="16"/>
        </w:numPr>
      </w:pPr>
      <w:r>
        <w:t>'Pasture - Hay' - irrigated pasture,</w:t>
      </w:r>
    </w:p>
    <w:p w14:paraId="36D1572E" w14:textId="77777777" w:rsidR="00104BDD" w:rsidRDefault="00104BDD" w:rsidP="00C67DD0">
      <w:pPr>
        <w:pStyle w:val="Bulletlist-level2"/>
        <w:numPr>
          <w:ilvl w:val="1"/>
          <w:numId w:val="16"/>
        </w:numPr>
      </w:pPr>
      <w:r>
        <w:t>'Pasture - Dairy' - irrigated pasture.</w:t>
      </w:r>
    </w:p>
    <w:p w14:paraId="180A40C0" w14:textId="77777777" w:rsidR="00104BDD" w:rsidRDefault="00104BDD" w:rsidP="00104BDD">
      <w:pPr>
        <w:pStyle w:val="Heading4"/>
      </w:pPr>
      <w:r>
        <w:t>Notes on construction</w:t>
      </w:r>
    </w:p>
    <w:p w14:paraId="5C62D2B3" w14:textId="77777777" w:rsidR="00104BDD" w:rsidRDefault="00104BDD" w:rsidP="00C67DD0">
      <w:pPr>
        <w:pStyle w:val="Bulletlist-level1"/>
        <w:numPr>
          <w:ilvl w:val="0"/>
          <w:numId w:val="16"/>
        </w:numPr>
      </w:pPr>
      <w:r>
        <w:t xml:space="preserve">Irrigated pasture for grazing was assumed to be for the Dairy industry as it predominantly occurs in the dairying areas around the VIC Goulburn-Broken, VIC Loddon-Campaspe and VIC Murray regions. </w:t>
      </w:r>
    </w:p>
    <w:p w14:paraId="563A0BC5" w14:textId="77777777" w:rsidR="00104BDD" w:rsidRDefault="00104BDD" w:rsidP="00C67DD0">
      <w:pPr>
        <w:pStyle w:val="Bulletlist-level1"/>
        <w:numPr>
          <w:ilvl w:val="0"/>
          <w:numId w:val="16"/>
        </w:numPr>
      </w:pPr>
      <w:r>
        <w:t xml:space="preserve">Pastures for hay and silage were combined due to their substitutability. </w:t>
      </w:r>
    </w:p>
    <w:p w14:paraId="0BE2703E" w14:textId="77777777" w:rsidR="00104BDD" w:rsidRDefault="00104BDD" w:rsidP="00C67DD0">
      <w:pPr>
        <w:pStyle w:val="Bulletlist-level1"/>
        <w:numPr>
          <w:ilvl w:val="0"/>
          <w:numId w:val="16"/>
        </w:numPr>
      </w:pPr>
      <w:r>
        <w:t>ABS NRM data included a very small amount of sugar cane in the NSW Murray area, which was excluded from the model.</w:t>
      </w:r>
    </w:p>
    <w:p w14:paraId="08F8AEAD" w14:textId="77777777" w:rsidR="00104BDD" w:rsidRDefault="00104BDD" w:rsidP="00104BDD">
      <w:pPr>
        <w:pStyle w:val="Bulletlist-level1"/>
        <w:numPr>
          <w:ilvl w:val="0"/>
          <w:numId w:val="2"/>
        </w:numPr>
      </w:pPr>
      <w:r w:rsidRPr="004A49B6">
        <w:t>In 2009</w:t>
      </w:r>
      <w:r>
        <w:t>–</w:t>
      </w:r>
      <w:r w:rsidRPr="004A49B6">
        <w:t xml:space="preserve">10 there is no data available from the ABS for irrigated area </w:t>
      </w:r>
      <w:r>
        <w:t xml:space="preserve">or water applied </w:t>
      </w:r>
      <w:r w:rsidRPr="004A49B6">
        <w:t xml:space="preserve">for grapevines in the SA Murray Darling Basin NRM region. This may relate to changes in survey methods for this year (Caboche T, Shafron W, Gunning-Trant C, Lubulwa M, Martin P, 2013). </w:t>
      </w:r>
      <w:r>
        <w:t>In the absence of this data ABARES has estimated land and water use for grapevines in SA Murray as follows:</w:t>
      </w:r>
    </w:p>
    <w:p w14:paraId="4751E682" w14:textId="77777777" w:rsidR="00104BDD" w:rsidRPr="00014480" w:rsidRDefault="00104BDD" w:rsidP="00C67DD0">
      <w:pPr>
        <w:pStyle w:val="Bulletlist-level2"/>
        <w:numPr>
          <w:ilvl w:val="1"/>
          <w:numId w:val="16"/>
        </w:numPr>
      </w:pPr>
      <w:r w:rsidRPr="00014480">
        <w:t>For irrigated land use</w:t>
      </w:r>
      <w:r>
        <w:t>,</w:t>
      </w:r>
      <w:r w:rsidRPr="00014480">
        <w:t xml:space="preserve"> a substitute value (23195.12 ha) </w:t>
      </w:r>
      <w:r>
        <w:t>was</w:t>
      </w:r>
      <w:r w:rsidRPr="00014480">
        <w:t xml:space="preserve"> calculated by applying the percent decrease in land use for grapevines across the whole state (-5.5 per cent) to land use in 2008</w:t>
      </w:r>
      <w:r>
        <w:t>–</w:t>
      </w:r>
      <w:r w:rsidRPr="00014480">
        <w:t xml:space="preserve">09 (24428.77 ha). </w:t>
      </w:r>
    </w:p>
    <w:p w14:paraId="2C04E3E4" w14:textId="77777777" w:rsidR="00104BDD" w:rsidRDefault="00104BDD" w:rsidP="00C67DD0">
      <w:pPr>
        <w:pStyle w:val="Bulletlist-level2"/>
        <w:numPr>
          <w:ilvl w:val="1"/>
          <w:numId w:val="16"/>
        </w:numPr>
      </w:pPr>
      <w:r w:rsidRPr="003F3F1B">
        <w:t>For total water use</w:t>
      </w:r>
      <w:r>
        <w:t>,</w:t>
      </w:r>
      <w:r w:rsidRPr="003F3F1B">
        <w:t xml:space="preserve"> a substitute value (88141.46 ML) was calculated by applying the 2010</w:t>
      </w:r>
      <w:r>
        <w:t>–</w:t>
      </w:r>
      <w:r w:rsidRPr="003F3F1B">
        <w:t xml:space="preserve">11 application rate (3.8 ML/ha) </w:t>
      </w:r>
      <w:r>
        <w:t>to</w:t>
      </w:r>
      <w:r w:rsidRPr="003F3F1B">
        <w:t xml:space="preserve"> the land use estimate given above.</w:t>
      </w:r>
    </w:p>
    <w:p w14:paraId="52A7736D" w14:textId="77777777" w:rsidR="00104BDD" w:rsidRDefault="00104BDD" w:rsidP="00104BDD">
      <w:pPr>
        <w:pStyle w:val="Heading4"/>
      </w:pPr>
      <w:r>
        <w:lastRenderedPageBreak/>
        <w:t>Sources</w:t>
      </w:r>
    </w:p>
    <w:p w14:paraId="7D03EF04" w14:textId="7D9C585B" w:rsidR="00104BDD" w:rsidRDefault="00104BDD" w:rsidP="00C67DD0">
      <w:pPr>
        <w:pStyle w:val="Bulletlist-level1"/>
        <w:numPr>
          <w:ilvl w:val="0"/>
          <w:numId w:val="16"/>
        </w:numPr>
      </w:pPr>
      <w:r>
        <w:t xml:space="preserve">ABS </w:t>
      </w:r>
      <w:r w:rsidRPr="000F1140">
        <w:t>Agricultural Commodities (Cat. No. 7121)</w:t>
      </w:r>
      <w:r w:rsidR="00802327">
        <w:t xml:space="preserve"> for 2001–2016</w:t>
      </w:r>
      <w:r>
        <w:t xml:space="preserve"> (ABS 2017a).</w:t>
      </w:r>
    </w:p>
    <w:p w14:paraId="1AF5652A" w14:textId="1AF19F0F" w:rsidR="00104BDD" w:rsidRDefault="00104BDD" w:rsidP="00C67DD0">
      <w:pPr>
        <w:pStyle w:val="Bulletlist-level1"/>
        <w:numPr>
          <w:ilvl w:val="0"/>
          <w:numId w:val="16"/>
        </w:numPr>
      </w:pPr>
      <w:r>
        <w:t xml:space="preserve">ABS </w:t>
      </w:r>
      <w:r w:rsidRPr="00C1640B">
        <w:t>Water Use on Australian Farms (Cat. No. 4618)</w:t>
      </w:r>
      <w:r w:rsidR="00802327">
        <w:t xml:space="preserve"> for 2006–2016</w:t>
      </w:r>
      <w:r>
        <w:t xml:space="preserve"> (ABS 2016b).</w:t>
      </w:r>
    </w:p>
    <w:p w14:paraId="5336C7B6" w14:textId="77777777" w:rsidR="00104BDD" w:rsidRDefault="00104BDD" w:rsidP="00C67DD0">
      <w:pPr>
        <w:pStyle w:val="Bulletlist-level1"/>
        <w:numPr>
          <w:ilvl w:val="0"/>
          <w:numId w:val="16"/>
        </w:numPr>
      </w:pPr>
      <w:r>
        <w:t xml:space="preserve">ABARES water regions based on </w:t>
      </w:r>
      <w:r w:rsidRPr="00C1640B">
        <w:t>CSIRO Murray-Darling Basin Sustainable Yields Project</w:t>
      </w:r>
      <w:r>
        <w:t>, adjusted for trade rules and the Barmah Choke (available on request).</w:t>
      </w:r>
    </w:p>
    <w:p w14:paraId="77986795" w14:textId="77777777" w:rsidR="00104BDD" w:rsidRDefault="00104BDD" w:rsidP="00104BDD">
      <w:pPr>
        <w:pStyle w:val="Caption"/>
      </w:pPr>
      <w:bookmarkStart w:id="144" w:name="TableA2"/>
      <w:bookmarkStart w:id="145" w:name="_Ref493084307"/>
      <w:bookmarkStart w:id="146" w:name="_Toc491356946"/>
      <w:bookmarkStart w:id="147" w:name="_Toc505345906"/>
      <w:r>
        <w:t>Table A</w:t>
      </w:r>
      <w:bookmarkEnd w:id="144"/>
      <w:r w:rsidR="003141BF">
        <w:fldChar w:fldCharType="begin"/>
      </w:r>
      <w:r w:rsidR="003141BF">
        <w:instrText xml:space="preserve"> SEQ Table \* ARABIC </w:instrText>
      </w:r>
      <w:r w:rsidR="003141BF">
        <w:fldChar w:fldCharType="separate"/>
      </w:r>
      <w:r w:rsidR="00F709AB">
        <w:rPr>
          <w:noProof/>
        </w:rPr>
        <w:t>5</w:t>
      </w:r>
      <w:r w:rsidR="003141BF">
        <w:fldChar w:fldCharType="end"/>
      </w:r>
      <w:bookmarkEnd w:id="145"/>
      <w:r>
        <w:t xml:space="preserve"> </w:t>
      </w:r>
      <w:r w:rsidRPr="00E94D39">
        <w:t xml:space="preserve">Percentage of </w:t>
      </w:r>
      <w:r>
        <w:t>irrigated area in NRM regions</w:t>
      </w:r>
      <w:r w:rsidRPr="00E94D39">
        <w:t xml:space="preserve"> contained within water trade model regions</w:t>
      </w:r>
      <w:r>
        <w:t>, 2012 NRM boundaries</w:t>
      </w:r>
      <w:bookmarkStart w:id="148" w:name="references"/>
      <w:bookmarkEnd w:id="146"/>
      <w:bookmarkEnd w:id="148"/>
      <w:bookmarkEnd w:id="147"/>
    </w:p>
    <w:tbl>
      <w:tblPr>
        <w:tblStyle w:val="ABAREStablecenteralign"/>
        <w:tblW w:w="5000" w:type="pct"/>
        <w:tblLayout w:type="fixed"/>
        <w:tblLook w:val="04A0" w:firstRow="1" w:lastRow="0" w:firstColumn="1" w:lastColumn="0" w:noHBand="0" w:noVBand="1"/>
      </w:tblPr>
      <w:tblGrid>
        <w:gridCol w:w="2695"/>
        <w:gridCol w:w="1558"/>
        <w:gridCol w:w="1843"/>
        <w:gridCol w:w="1419"/>
        <w:gridCol w:w="1555"/>
      </w:tblGrid>
      <w:tr w:rsidR="00104BDD" w:rsidRPr="00AE77A4" w14:paraId="00976BE0" w14:textId="77777777" w:rsidTr="00AE77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tcBorders>
              <w:top w:val="single" w:sz="4" w:space="0" w:color="auto"/>
              <w:bottom w:val="single" w:sz="4" w:space="0" w:color="auto"/>
            </w:tcBorders>
            <w:vAlign w:val="center"/>
            <w:hideMark/>
          </w:tcPr>
          <w:p w14:paraId="2CCAB07F"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Water trade model region</w:t>
            </w:r>
          </w:p>
          <w:p w14:paraId="76E1CB3B" w14:textId="77777777" w:rsidR="00104BDD" w:rsidRPr="00AE77A4" w:rsidRDefault="00104BDD" w:rsidP="0079654D">
            <w:pPr>
              <w:pStyle w:val="Tabletext"/>
              <w:rPr>
                <w:rFonts w:asciiTheme="majorHAnsi" w:hAnsiTheme="majorHAnsi"/>
                <w:b w:val="0"/>
                <w:lang w:eastAsia="zh-CN"/>
              </w:rPr>
            </w:pPr>
            <w:r w:rsidRPr="00AE77A4">
              <w:rPr>
                <w:rFonts w:asciiTheme="majorHAnsi" w:hAnsiTheme="majorHAnsi"/>
                <w:b w:val="0"/>
                <w:lang w:eastAsia="zh-CN"/>
              </w:rPr>
              <w:t>NRM Region</w:t>
            </w:r>
          </w:p>
        </w:tc>
        <w:tc>
          <w:tcPr>
            <w:tcW w:w="859" w:type="pct"/>
            <w:tcBorders>
              <w:top w:val="single" w:sz="4" w:space="0" w:color="auto"/>
              <w:bottom w:val="single" w:sz="4" w:space="0" w:color="auto"/>
            </w:tcBorders>
            <w:vAlign w:val="bottom"/>
            <w:hideMark/>
          </w:tcPr>
          <w:p w14:paraId="4F3E8122" w14:textId="77777777" w:rsidR="00104BDD" w:rsidRPr="00AE77A4" w:rsidRDefault="00104BDD" w:rsidP="0079654D">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Irrigated cropping area</w:t>
            </w:r>
          </w:p>
        </w:tc>
        <w:tc>
          <w:tcPr>
            <w:tcW w:w="1016" w:type="pct"/>
            <w:tcBorders>
              <w:top w:val="single" w:sz="4" w:space="0" w:color="auto"/>
              <w:bottom w:val="single" w:sz="4" w:space="0" w:color="auto"/>
            </w:tcBorders>
            <w:vAlign w:val="bottom"/>
            <w:hideMark/>
          </w:tcPr>
          <w:p w14:paraId="2BECC201" w14:textId="77777777" w:rsidR="00104BDD" w:rsidRPr="00AE77A4" w:rsidRDefault="00104BDD" w:rsidP="0079654D">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Irrigated horticultural area</w:t>
            </w:r>
          </w:p>
        </w:tc>
        <w:tc>
          <w:tcPr>
            <w:tcW w:w="782" w:type="pct"/>
            <w:tcBorders>
              <w:top w:val="single" w:sz="4" w:space="0" w:color="auto"/>
              <w:bottom w:val="single" w:sz="4" w:space="0" w:color="auto"/>
            </w:tcBorders>
            <w:vAlign w:val="bottom"/>
            <w:hideMark/>
          </w:tcPr>
          <w:p w14:paraId="34DB733C" w14:textId="77777777" w:rsidR="00104BDD" w:rsidRPr="00AE77A4" w:rsidRDefault="00104BDD" w:rsidP="0079654D">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Irrigated pasture area</w:t>
            </w:r>
          </w:p>
        </w:tc>
        <w:tc>
          <w:tcPr>
            <w:tcW w:w="857" w:type="pct"/>
            <w:tcBorders>
              <w:top w:val="single" w:sz="4" w:space="0" w:color="auto"/>
              <w:bottom w:val="single" w:sz="4" w:space="0" w:color="auto"/>
            </w:tcBorders>
            <w:vAlign w:val="bottom"/>
            <w:hideMark/>
          </w:tcPr>
          <w:p w14:paraId="61E09A97" w14:textId="77777777" w:rsidR="00104BDD" w:rsidRPr="00AE77A4" w:rsidRDefault="00104BDD" w:rsidP="0079654D">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Total irrigated area</w:t>
            </w:r>
          </w:p>
        </w:tc>
      </w:tr>
      <w:tr w:rsidR="00104BDD" w:rsidRPr="00AE77A4" w14:paraId="1EAEA69B" w14:textId="77777777" w:rsidTr="00AE77A4">
        <w:trPr>
          <w:trHeight w:val="300"/>
        </w:trPr>
        <w:tc>
          <w:tcPr>
            <w:cnfStyle w:val="001000000000" w:firstRow="0" w:lastRow="0" w:firstColumn="1" w:lastColumn="0" w:oddVBand="0" w:evenVBand="0" w:oddHBand="0" w:evenHBand="0" w:firstRowFirstColumn="0" w:firstRowLastColumn="0" w:lastRowFirstColumn="0" w:lastRowLastColumn="0"/>
            <w:tcW w:w="1486" w:type="pct"/>
            <w:tcBorders>
              <w:top w:val="single" w:sz="4" w:space="0" w:color="auto"/>
            </w:tcBorders>
            <w:hideMark/>
          </w:tcPr>
          <w:p w14:paraId="4C121BC2" w14:textId="77777777" w:rsidR="00104BDD" w:rsidRPr="00AE77A4" w:rsidRDefault="00104BDD" w:rsidP="0079654D">
            <w:pPr>
              <w:pStyle w:val="Tabletext"/>
              <w:rPr>
                <w:rFonts w:asciiTheme="majorHAnsi" w:hAnsiTheme="majorHAnsi"/>
                <w:b/>
                <w:lang w:eastAsia="zh-CN"/>
              </w:rPr>
            </w:pPr>
            <w:r w:rsidRPr="00AE77A4">
              <w:rPr>
                <w:rFonts w:asciiTheme="majorHAnsi" w:hAnsiTheme="majorHAnsi"/>
                <w:b/>
                <w:lang w:eastAsia="zh-CN"/>
              </w:rPr>
              <w:t>Goulburn-Broken</w:t>
            </w:r>
          </w:p>
        </w:tc>
        <w:tc>
          <w:tcPr>
            <w:tcW w:w="859" w:type="pct"/>
            <w:tcBorders>
              <w:top w:val="single" w:sz="4" w:space="0" w:color="auto"/>
            </w:tcBorders>
            <w:vAlign w:val="bottom"/>
            <w:hideMark/>
          </w:tcPr>
          <w:p w14:paraId="6DBFC1D5"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tcBorders>
              <w:top w:val="single" w:sz="4" w:space="0" w:color="auto"/>
            </w:tcBorders>
            <w:vAlign w:val="bottom"/>
            <w:hideMark/>
          </w:tcPr>
          <w:p w14:paraId="707C044F"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tcBorders>
              <w:top w:val="single" w:sz="4" w:space="0" w:color="auto"/>
            </w:tcBorders>
            <w:vAlign w:val="bottom"/>
            <w:hideMark/>
          </w:tcPr>
          <w:p w14:paraId="60BE3552"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tcBorders>
              <w:top w:val="single" w:sz="4" w:space="0" w:color="auto"/>
            </w:tcBorders>
            <w:vAlign w:val="bottom"/>
          </w:tcPr>
          <w:p w14:paraId="7C1076E8"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104BDD" w:rsidRPr="00AE77A4" w14:paraId="4B9374AA"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D3A59C2"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Goulburn Broken</w:t>
            </w:r>
          </w:p>
        </w:tc>
        <w:tc>
          <w:tcPr>
            <w:tcW w:w="859" w:type="pct"/>
            <w:vAlign w:val="bottom"/>
            <w:hideMark/>
          </w:tcPr>
          <w:p w14:paraId="32922BF6"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78.57%</w:t>
            </w:r>
          </w:p>
        </w:tc>
        <w:tc>
          <w:tcPr>
            <w:tcW w:w="1016" w:type="pct"/>
            <w:vAlign w:val="bottom"/>
            <w:hideMark/>
          </w:tcPr>
          <w:p w14:paraId="2CAD56F5"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79.67%</w:t>
            </w:r>
          </w:p>
        </w:tc>
        <w:tc>
          <w:tcPr>
            <w:tcW w:w="782" w:type="pct"/>
            <w:vAlign w:val="bottom"/>
            <w:hideMark/>
          </w:tcPr>
          <w:p w14:paraId="10EDBFA3"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80.24%</w:t>
            </w:r>
          </w:p>
        </w:tc>
        <w:tc>
          <w:tcPr>
            <w:tcW w:w="857" w:type="pct"/>
            <w:vAlign w:val="bottom"/>
            <w:hideMark/>
          </w:tcPr>
          <w:p w14:paraId="0BDD8066"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81.00%</w:t>
            </w:r>
          </w:p>
        </w:tc>
      </w:tr>
      <w:tr w:rsidR="00104BDD" w:rsidRPr="00AE77A4" w14:paraId="798DE14E"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72EF6CA8"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Murray</w:t>
            </w:r>
          </w:p>
        </w:tc>
        <w:tc>
          <w:tcPr>
            <w:tcW w:w="859" w:type="pct"/>
            <w:vAlign w:val="bottom"/>
            <w:hideMark/>
          </w:tcPr>
          <w:p w14:paraId="66284D22"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332404F8"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782" w:type="pct"/>
            <w:vAlign w:val="bottom"/>
            <w:hideMark/>
          </w:tcPr>
          <w:p w14:paraId="07DF5BFD"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1ED8ADBD"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r>
      <w:tr w:rsidR="00104BDD" w:rsidRPr="00AE77A4" w14:paraId="1926BE63"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3096FA3"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North Central</w:t>
            </w:r>
          </w:p>
        </w:tc>
        <w:tc>
          <w:tcPr>
            <w:tcW w:w="859" w:type="pct"/>
            <w:vAlign w:val="bottom"/>
            <w:hideMark/>
          </w:tcPr>
          <w:p w14:paraId="2C0C9543"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54.10%</w:t>
            </w:r>
          </w:p>
        </w:tc>
        <w:tc>
          <w:tcPr>
            <w:tcW w:w="1016" w:type="pct"/>
            <w:vAlign w:val="bottom"/>
            <w:hideMark/>
          </w:tcPr>
          <w:p w14:paraId="79C6E508"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27.07%</w:t>
            </w:r>
          </w:p>
        </w:tc>
        <w:tc>
          <w:tcPr>
            <w:tcW w:w="782" w:type="pct"/>
            <w:vAlign w:val="bottom"/>
            <w:hideMark/>
          </w:tcPr>
          <w:p w14:paraId="5E4D5EDD"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46.73%</w:t>
            </w:r>
          </w:p>
        </w:tc>
        <w:tc>
          <w:tcPr>
            <w:tcW w:w="857" w:type="pct"/>
            <w:vAlign w:val="bottom"/>
            <w:hideMark/>
          </w:tcPr>
          <w:p w14:paraId="593D20F8"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48.51%</w:t>
            </w:r>
          </w:p>
        </w:tc>
      </w:tr>
      <w:tr w:rsidR="00104BDD" w:rsidRPr="00AE77A4" w14:paraId="632BD183"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7E628BD7"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North East</w:t>
            </w:r>
          </w:p>
        </w:tc>
        <w:tc>
          <w:tcPr>
            <w:tcW w:w="859" w:type="pct"/>
            <w:vAlign w:val="bottom"/>
            <w:hideMark/>
          </w:tcPr>
          <w:p w14:paraId="259BB9EF"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0.21%</w:t>
            </w:r>
          </w:p>
        </w:tc>
        <w:tc>
          <w:tcPr>
            <w:tcW w:w="1016" w:type="pct"/>
            <w:vAlign w:val="bottom"/>
            <w:hideMark/>
          </w:tcPr>
          <w:p w14:paraId="6238BEFE"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0.21%</w:t>
            </w:r>
          </w:p>
        </w:tc>
        <w:tc>
          <w:tcPr>
            <w:tcW w:w="782" w:type="pct"/>
            <w:vAlign w:val="bottom"/>
            <w:hideMark/>
          </w:tcPr>
          <w:p w14:paraId="360406D1"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c>
          <w:tcPr>
            <w:tcW w:w="857" w:type="pct"/>
            <w:vAlign w:val="bottom"/>
            <w:hideMark/>
          </w:tcPr>
          <w:p w14:paraId="53865305"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0.12%</w:t>
            </w:r>
          </w:p>
        </w:tc>
      </w:tr>
      <w:tr w:rsidR="00104BDD" w:rsidRPr="00AE77A4" w14:paraId="7A6CA54B"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311819B"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Port Phillip and Western Port</w:t>
            </w:r>
          </w:p>
        </w:tc>
        <w:tc>
          <w:tcPr>
            <w:tcW w:w="859" w:type="pct"/>
            <w:vAlign w:val="bottom"/>
            <w:hideMark/>
          </w:tcPr>
          <w:p w14:paraId="71A5EA2D"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0515BC82"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2DED79F4"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0.13%</w:t>
            </w:r>
          </w:p>
        </w:tc>
        <w:tc>
          <w:tcPr>
            <w:tcW w:w="857" w:type="pct"/>
            <w:vAlign w:val="bottom"/>
            <w:hideMark/>
          </w:tcPr>
          <w:p w14:paraId="0A6C5E5C"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0.05%</w:t>
            </w:r>
          </w:p>
        </w:tc>
      </w:tr>
      <w:tr w:rsidR="00104BDD" w:rsidRPr="00AE77A4" w14:paraId="1AAE582C"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350E1F17" w14:textId="77777777" w:rsidR="00104BDD" w:rsidRPr="00AE77A4" w:rsidRDefault="00104BDD" w:rsidP="0079654D">
            <w:pPr>
              <w:pStyle w:val="Tabletext"/>
              <w:rPr>
                <w:rFonts w:asciiTheme="majorHAnsi" w:hAnsiTheme="majorHAnsi"/>
                <w:b/>
                <w:lang w:eastAsia="zh-CN"/>
              </w:rPr>
            </w:pPr>
            <w:r w:rsidRPr="00AE77A4">
              <w:rPr>
                <w:rFonts w:asciiTheme="majorHAnsi" w:hAnsiTheme="majorHAnsi"/>
                <w:b/>
                <w:lang w:eastAsia="zh-CN"/>
              </w:rPr>
              <w:t>Loddon-Campaspe</w:t>
            </w:r>
          </w:p>
        </w:tc>
        <w:tc>
          <w:tcPr>
            <w:tcW w:w="859" w:type="pct"/>
            <w:vAlign w:val="bottom"/>
            <w:hideMark/>
          </w:tcPr>
          <w:p w14:paraId="79CB7E1C"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vAlign w:val="bottom"/>
            <w:hideMark/>
          </w:tcPr>
          <w:p w14:paraId="0EB1E053"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vAlign w:val="bottom"/>
            <w:hideMark/>
          </w:tcPr>
          <w:p w14:paraId="58F79636"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vAlign w:val="bottom"/>
          </w:tcPr>
          <w:p w14:paraId="2D4A6917"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104BDD" w:rsidRPr="00AE77A4" w14:paraId="14BEE26A"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D794808"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Corangamite</w:t>
            </w:r>
          </w:p>
        </w:tc>
        <w:tc>
          <w:tcPr>
            <w:tcW w:w="859" w:type="pct"/>
            <w:vAlign w:val="bottom"/>
            <w:hideMark/>
          </w:tcPr>
          <w:p w14:paraId="20CD2FA7"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7AA9DDD9"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0.32%</w:t>
            </w:r>
          </w:p>
        </w:tc>
        <w:tc>
          <w:tcPr>
            <w:tcW w:w="782" w:type="pct"/>
            <w:vAlign w:val="bottom"/>
            <w:hideMark/>
          </w:tcPr>
          <w:p w14:paraId="61B0D946"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588C2D9E"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0.06%</w:t>
            </w:r>
          </w:p>
        </w:tc>
      </w:tr>
      <w:tr w:rsidR="00104BDD" w:rsidRPr="00AE77A4" w14:paraId="5C51A2E7"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7A00B214"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Glenelg Hopkins</w:t>
            </w:r>
          </w:p>
        </w:tc>
        <w:tc>
          <w:tcPr>
            <w:tcW w:w="859" w:type="pct"/>
            <w:vAlign w:val="bottom"/>
            <w:hideMark/>
          </w:tcPr>
          <w:p w14:paraId="07BCA49A"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6B035AD2"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7AC010F0"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0.05%</w:t>
            </w:r>
          </w:p>
        </w:tc>
        <w:tc>
          <w:tcPr>
            <w:tcW w:w="857" w:type="pct"/>
            <w:vAlign w:val="bottom"/>
            <w:hideMark/>
          </w:tcPr>
          <w:p w14:paraId="3556C1B2"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r>
      <w:tr w:rsidR="00104BDD" w:rsidRPr="00AE77A4" w14:paraId="6A03CEC1"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42E35E92"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Goulburn Broken</w:t>
            </w:r>
          </w:p>
        </w:tc>
        <w:tc>
          <w:tcPr>
            <w:tcW w:w="859" w:type="pct"/>
            <w:vAlign w:val="bottom"/>
            <w:hideMark/>
          </w:tcPr>
          <w:p w14:paraId="27AFDB09"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1016" w:type="pct"/>
            <w:vAlign w:val="bottom"/>
            <w:hideMark/>
          </w:tcPr>
          <w:p w14:paraId="2072B380"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0.07%</w:t>
            </w:r>
          </w:p>
        </w:tc>
        <w:tc>
          <w:tcPr>
            <w:tcW w:w="782" w:type="pct"/>
            <w:vAlign w:val="bottom"/>
            <w:hideMark/>
          </w:tcPr>
          <w:p w14:paraId="6B5CF70F"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687EF82D"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104BDD" w:rsidRPr="00AE77A4" w14:paraId="775892F4"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F1FBE59"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Mallee</w:t>
            </w:r>
          </w:p>
        </w:tc>
        <w:tc>
          <w:tcPr>
            <w:tcW w:w="859" w:type="pct"/>
            <w:vAlign w:val="bottom"/>
            <w:hideMark/>
          </w:tcPr>
          <w:p w14:paraId="6FD615F3"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1.79%</w:t>
            </w:r>
          </w:p>
        </w:tc>
        <w:tc>
          <w:tcPr>
            <w:tcW w:w="1016" w:type="pct"/>
            <w:vAlign w:val="bottom"/>
            <w:hideMark/>
          </w:tcPr>
          <w:p w14:paraId="0314FF45"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0.33%</w:t>
            </w:r>
          </w:p>
        </w:tc>
        <w:tc>
          <w:tcPr>
            <w:tcW w:w="782" w:type="pct"/>
            <w:vAlign w:val="bottom"/>
            <w:hideMark/>
          </w:tcPr>
          <w:p w14:paraId="5791B46F"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0.45%</w:t>
            </w:r>
          </w:p>
        </w:tc>
        <w:tc>
          <w:tcPr>
            <w:tcW w:w="857" w:type="pct"/>
            <w:vAlign w:val="bottom"/>
            <w:hideMark/>
          </w:tcPr>
          <w:p w14:paraId="0BC3F347"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0.86%</w:t>
            </w:r>
          </w:p>
        </w:tc>
      </w:tr>
      <w:tr w:rsidR="00104BDD" w:rsidRPr="00AE77A4" w14:paraId="774F0D07"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1C0A8245"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North Central</w:t>
            </w:r>
          </w:p>
        </w:tc>
        <w:tc>
          <w:tcPr>
            <w:tcW w:w="859" w:type="pct"/>
            <w:vAlign w:val="bottom"/>
            <w:hideMark/>
          </w:tcPr>
          <w:p w14:paraId="5A344CA2"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17.66%</w:t>
            </w:r>
          </w:p>
        </w:tc>
        <w:tc>
          <w:tcPr>
            <w:tcW w:w="1016" w:type="pct"/>
            <w:vAlign w:val="bottom"/>
            <w:hideMark/>
          </w:tcPr>
          <w:p w14:paraId="236CCC34"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33.96%</w:t>
            </w:r>
          </w:p>
        </w:tc>
        <w:tc>
          <w:tcPr>
            <w:tcW w:w="782" w:type="pct"/>
            <w:vAlign w:val="bottom"/>
            <w:hideMark/>
          </w:tcPr>
          <w:p w14:paraId="1FE2A934"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14.13%</w:t>
            </w:r>
          </w:p>
        </w:tc>
        <w:tc>
          <w:tcPr>
            <w:tcW w:w="857" w:type="pct"/>
            <w:vAlign w:val="bottom"/>
            <w:hideMark/>
          </w:tcPr>
          <w:p w14:paraId="55820036"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19.06%</w:t>
            </w:r>
          </w:p>
        </w:tc>
      </w:tr>
      <w:tr w:rsidR="00104BDD" w:rsidRPr="00AE77A4" w14:paraId="1F969440"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EB3B796" w14:textId="77777777" w:rsidR="00104BDD" w:rsidRPr="00AE77A4" w:rsidRDefault="00104BDD" w:rsidP="0079654D">
            <w:pPr>
              <w:pStyle w:val="Tabletext"/>
              <w:rPr>
                <w:rFonts w:asciiTheme="majorHAnsi" w:hAnsiTheme="majorHAnsi"/>
                <w:lang w:eastAsia="zh-CN"/>
              </w:rPr>
            </w:pPr>
            <w:r w:rsidRPr="00AE77A4">
              <w:rPr>
                <w:rFonts w:asciiTheme="majorHAnsi" w:hAnsiTheme="majorHAnsi"/>
                <w:lang w:eastAsia="zh-CN"/>
              </w:rPr>
              <w:t>Port Phillip and Western Port</w:t>
            </w:r>
          </w:p>
        </w:tc>
        <w:tc>
          <w:tcPr>
            <w:tcW w:w="859" w:type="pct"/>
            <w:vAlign w:val="bottom"/>
            <w:hideMark/>
          </w:tcPr>
          <w:p w14:paraId="3F96BAA7"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0.15%</w:t>
            </w:r>
          </w:p>
        </w:tc>
        <w:tc>
          <w:tcPr>
            <w:tcW w:w="1016" w:type="pct"/>
            <w:vAlign w:val="bottom"/>
            <w:hideMark/>
          </w:tcPr>
          <w:p w14:paraId="1483653F"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0FCFEDCB"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36E2384C" w14:textId="77777777" w:rsidR="00104BDD" w:rsidRPr="00AE77A4" w:rsidRDefault="00104BDD" w:rsidP="0079654D">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B843EB" w:rsidRPr="00AE77A4" w14:paraId="638EF570" w14:textId="77777777" w:rsidTr="00AE77A4">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ACC2CEB" w14:textId="77777777" w:rsidR="00B843EB" w:rsidRPr="00AE77A4" w:rsidRDefault="00B843EB" w:rsidP="00B843EB">
            <w:pPr>
              <w:pStyle w:val="Tabletext"/>
              <w:rPr>
                <w:rFonts w:asciiTheme="majorHAnsi" w:hAnsiTheme="majorHAnsi"/>
                <w:b/>
                <w:lang w:eastAsia="zh-CN"/>
              </w:rPr>
            </w:pPr>
            <w:r w:rsidRPr="00AE77A4">
              <w:rPr>
                <w:rFonts w:asciiTheme="majorHAnsi" w:hAnsiTheme="majorHAnsi"/>
                <w:b/>
                <w:lang w:eastAsia="zh-CN"/>
              </w:rPr>
              <w:t>Lower Darling</w:t>
            </w:r>
          </w:p>
        </w:tc>
        <w:tc>
          <w:tcPr>
            <w:tcW w:w="859" w:type="pct"/>
          </w:tcPr>
          <w:p w14:paraId="75E3FBAD" w14:textId="18592F7E"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tcPr>
          <w:p w14:paraId="463B008D" w14:textId="48419E0D"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tcPr>
          <w:p w14:paraId="6090FFDB" w14:textId="1D7C6529"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tcPr>
          <w:p w14:paraId="35B45E35" w14:textId="70F5B70D"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B843EB" w:rsidRPr="00AE77A4" w14:paraId="5023ECC0"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7E6AAFE3"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Mallee</w:t>
            </w:r>
          </w:p>
        </w:tc>
        <w:tc>
          <w:tcPr>
            <w:tcW w:w="859" w:type="pct"/>
            <w:vAlign w:val="bottom"/>
            <w:hideMark/>
          </w:tcPr>
          <w:p w14:paraId="5DEA8E60"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1016" w:type="pct"/>
            <w:vAlign w:val="bottom"/>
            <w:hideMark/>
          </w:tcPr>
          <w:p w14:paraId="0A64DCE8"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782" w:type="pct"/>
            <w:vAlign w:val="bottom"/>
            <w:hideMark/>
          </w:tcPr>
          <w:p w14:paraId="5A7B7690"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857" w:type="pct"/>
            <w:vAlign w:val="bottom"/>
            <w:hideMark/>
          </w:tcPr>
          <w:p w14:paraId="4D805AB0"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r>
      <w:tr w:rsidR="00B843EB" w:rsidRPr="00AE77A4" w14:paraId="015780B1"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0D3E6149"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Murray</w:t>
            </w:r>
          </w:p>
        </w:tc>
        <w:tc>
          <w:tcPr>
            <w:tcW w:w="859" w:type="pct"/>
            <w:vAlign w:val="bottom"/>
            <w:hideMark/>
          </w:tcPr>
          <w:p w14:paraId="2D26F7B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0.76%</w:t>
            </w:r>
          </w:p>
        </w:tc>
        <w:tc>
          <w:tcPr>
            <w:tcW w:w="1016" w:type="pct"/>
            <w:vAlign w:val="bottom"/>
            <w:hideMark/>
          </w:tcPr>
          <w:p w14:paraId="4AF9611F"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50.36%</w:t>
            </w:r>
          </w:p>
        </w:tc>
        <w:tc>
          <w:tcPr>
            <w:tcW w:w="782" w:type="pct"/>
            <w:vAlign w:val="bottom"/>
            <w:hideMark/>
          </w:tcPr>
          <w:p w14:paraId="5C0FCCF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1.44%</w:t>
            </w:r>
          </w:p>
        </w:tc>
        <w:tc>
          <w:tcPr>
            <w:tcW w:w="857" w:type="pct"/>
            <w:vAlign w:val="bottom"/>
            <w:hideMark/>
          </w:tcPr>
          <w:p w14:paraId="6536C604"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4.52%</w:t>
            </w:r>
          </w:p>
        </w:tc>
      </w:tr>
      <w:tr w:rsidR="00B843EB" w:rsidRPr="00AE77A4" w14:paraId="6F01AF3F"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14F0B5BC"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Murrumbidgee</w:t>
            </w:r>
          </w:p>
        </w:tc>
        <w:tc>
          <w:tcPr>
            <w:tcW w:w="859" w:type="pct"/>
            <w:vAlign w:val="bottom"/>
            <w:hideMark/>
          </w:tcPr>
          <w:p w14:paraId="71789FF2"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3B9D0A87"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c>
          <w:tcPr>
            <w:tcW w:w="782" w:type="pct"/>
            <w:vAlign w:val="bottom"/>
            <w:hideMark/>
          </w:tcPr>
          <w:p w14:paraId="12A9A5CD"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0.03%</w:t>
            </w:r>
          </w:p>
        </w:tc>
        <w:tc>
          <w:tcPr>
            <w:tcW w:w="857" w:type="pct"/>
            <w:vAlign w:val="bottom"/>
            <w:hideMark/>
          </w:tcPr>
          <w:p w14:paraId="114A6B4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B843EB" w:rsidRPr="00AE77A4" w14:paraId="1CEDAE86"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EACEFC9"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Western</w:t>
            </w:r>
          </w:p>
        </w:tc>
        <w:tc>
          <w:tcPr>
            <w:tcW w:w="859" w:type="pct"/>
            <w:vAlign w:val="bottom"/>
            <w:hideMark/>
          </w:tcPr>
          <w:p w14:paraId="3B77BB1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22.34%</w:t>
            </w:r>
          </w:p>
        </w:tc>
        <w:tc>
          <w:tcPr>
            <w:tcW w:w="1016" w:type="pct"/>
            <w:vAlign w:val="bottom"/>
            <w:hideMark/>
          </w:tcPr>
          <w:p w14:paraId="7B50A58F"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58.84%</w:t>
            </w:r>
          </w:p>
        </w:tc>
        <w:tc>
          <w:tcPr>
            <w:tcW w:w="782" w:type="pct"/>
            <w:vAlign w:val="bottom"/>
            <w:hideMark/>
          </w:tcPr>
          <w:p w14:paraId="5FEC6119"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39.38%</w:t>
            </w:r>
          </w:p>
        </w:tc>
        <w:tc>
          <w:tcPr>
            <w:tcW w:w="857" w:type="pct"/>
            <w:vAlign w:val="bottom"/>
            <w:hideMark/>
          </w:tcPr>
          <w:p w14:paraId="0A55E98E"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25.58%</w:t>
            </w:r>
          </w:p>
        </w:tc>
      </w:tr>
      <w:tr w:rsidR="00B843EB" w:rsidRPr="00AE77A4" w14:paraId="4409879E"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654D1E86" w14:textId="77777777" w:rsidR="00B843EB" w:rsidRPr="00AE77A4" w:rsidRDefault="00B843EB" w:rsidP="00B843EB">
            <w:pPr>
              <w:pStyle w:val="Tabletext"/>
              <w:rPr>
                <w:rFonts w:asciiTheme="majorHAnsi" w:hAnsiTheme="majorHAnsi"/>
                <w:b/>
                <w:lang w:eastAsia="zh-CN"/>
              </w:rPr>
            </w:pPr>
            <w:r w:rsidRPr="00AE77A4">
              <w:rPr>
                <w:rFonts w:asciiTheme="majorHAnsi" w:hAnsiTheme="majorHAnsi"/>
                <w:b/>
                <w:lang w:eastAsia="zh-CN"/>
              </w:rPr>
              <w:t>Murrumbidgee</w:t>
            </w:r>
          </w:p>
        </w:tc>
        <w:tc>
          <w:tcPr>
            <w:tcW w:w="859" w:type="pct"/>
            <w:vAlign w:val="bottom"/>
            <w:hideMark/>
          </w:tcPr>
          <w:p w14:paraId="5A98DE5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vAlign w:val="bottom"/>
            <w:hideMark/>
          </w:tcPr>
          <w:p w14:paraId="3596530C"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vAlign w:val="bottom"/>
            <w:hideMark/>
          </w:tcPr>
          <w:p w14:paraId="62FCC9FA"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vAlign w:val="bottom"/>
          </w:tcPr>
          <w:p w14:paraId="16DD54C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B843EB" w:rsidRPr="00AE77A4" w14:paraId="684B4031"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3CA49CE1"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ACT</w:t>
            </w:r>
          </w:p>
        </w:tc>
        <w:tc>
          <w:tcPr>
            <w:tcW w:w="859" w:type="pct"/>
            <w:vAlign w:val="bottom"/>
            <w:hideMark/>
          </w:tcPr>
          <w:p w14:paraId="12232D79"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100.00%</w:t>
            </w:r>
          </w:p>
        </w:tc>
        <w:tc>
          <w:tcPr>
            <w:tcW w:w="1016" w:type="pct"/>
            <w:vAlign w:val="bottom"/>
            <w:hideMark/>
          </w:tcPr>
          <w:p w14:paraId="6A94243E"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100.00%</w:t>
            </w:r>
          </w:p>
        </w:tc>
        <w:tc>
          <w:tcPr>
            <w:tcW w:w="782" w:type="pct"/>
            <w:vAlign w:val="bottom"/>
            <w:hideMark/>
          </w:tcPr>
          <w:p w14:paraId="503F3B9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100.00%</w:t>
            </w:r>
          </w:p>
        </w:tc>
        <w:tc>
          <w:tcPr>
            <w:tcW w:w="857" w:type="pct"/>
            <w:vAlign w:val="bottom"/>
            <w:hideMark/>
          </w:tcPr>
          <w:p w14:paraId="24DDB3E6"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100.00%</w:t>
            </w:r>
          </w:p>
        </w:tc>
      </w:tr>
      <w:tr w:rsidR="00B843EB" w:rsidRPr="00AE77A4" w14:paraId="304B484C"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9EA7623"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Lachlan</w:t>
            </w:r>
          </w:p>
        </w:tc>
        <w:tc>
          <w:tcPr>
            <w:tcW w:w="859" w:type="pct"/>
            <w:vAlign w:val="bottom"/>
            <w:hideMark/>
          </w:tcPr>
          <w:p w14:paraId="22C2EA7E"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1016" w:type="pct"/>
            <w:vAlign w:val="bottom"/>
            <w:hideMark/>
          </w:tcPr>
          <w:p w14:paraId="2AAAAC1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70985FF7"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0.14%</w:t>
            </w:r>
          </w:p>
        </w:tc>
        <w:tc>
          <w:tcPr>
            <w:tcW w:w="857" w:type="pct"/>
            <w:vAlign w:val="bottom"/>
            <w:hideMark/>
          </w:tcPr>
          <w:p w14:paraId="20A68BBB"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r>
      <w:tr w:rsidR="00B843EB" w:rsidRPr="00AE77A4" w14:paraId="68BCFB3E"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3214A66"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Murray</w:t>
            </w:r>
          </w:p>
        </w:tc>
        <w:tc>
          <w:tcPr>
            <w:tcW w:w="859" w:type="pct"/>
            <w:vAlign w:val="bottom"/>
            <w:hideMark/>
          </w:tcPr>
          <w:p w14:paraId="3F300D2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15.07%</w:t>
            </w:r>
          </w:p>
        </w:tc>
        <w:tc>
          <w:tcPr>
            <w:tcW w:w="1016" w:type="pct"/>
            <w:vAlign w:val="bottom"/>
            <w:hideMark/>
          </w:tcPr>
          <w:p w14:paraId="3174C8A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7.39%</w:t>
            </w:r>
          </w:p>
        </w:tc>
        <w:tc>
          <w:tcPr>
            <w:tcW w:w="782" w:type="pct"/>
            <w:vAlign w:val="bottom"/>
            <w:hideMark/>
          </w:tcPr>
          <w:p w14:paraId="6841F5A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11.56%</w:t>
            </w:r>
          </w:p>
        </w:tc>
        <w:tc>
          <w:tcPr>
            <w:tcW w:w="857" w:type="pct"/>
            <w:vAlign w:val="bottom"/>
            <w:hideMark/>
          </w:tcPr>
          <w:p w14:paraId="4579B261"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14.57%</w:t>
            </w:r>
          </w:p>
        </w:tc>
      </w:tr>
      <w:tr w:rsidR="00B843EB" w:rsidRPr="00AE77A4" w14:paraId="4F02EA70"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34FF68B8"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Murrumbidgee</w:t>
            </w:r>
          </w:p>
        </w:tc>
        <w:tc>
          <w:tcPr>
            <w:tcW w:w="859" w:type="pct"/>
            <w:vAlign w:val="bottom"/>
            <w:hideMark/>
          </w:tcPr>
          <w:p w14:paraId="45612399"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99.95%</w:t>
            </w:r>
          </w:p>
        </w:tc>
        <w:tc>
          <w:tcPr>
            <w:tcW w:w="1016" w:type="pct"/>
            <w:vAlign w:val="bottom"/>
            <w:hideMark/>
          </w:tcPr>
          <w:p w14:paraId="3A9F8CBC"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99.90%</w:t>
            </w:r>
          </w:p>
        </w:tc>
        <w:tc>
          <w:tcPr>
            <w:tcW w:w="782" w:type="pct"/>
            <w:vAlign w:val="bottom"/>
            <w:hideMark/>
          </w:tcPr>
          <w:p w14:paraId="15E6CE3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99.92%</w:t>
            </w:r>
          </w:p>
        </w:tc>
        <w:tc>
          <w:tcPr>
            <w:tcW w:w="857" w:type="pct"/>
            <w:vAlign w:val="bottom"/>
            <w:hideMark/>
          </w:tcPr>
          <w:p w14:paraId="52818CC9"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99.93%</w:t>
            </w:r>
          </w:p>
        </w:tc>
      </w:tr>
      <w:tr w:rsidR="00B843EB" w:rsidRPr="00AE77A4" w14:paraId="0DB0BE38"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3DE8A859"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Southern Rivers</w:t>
            </w:r>
          </w:p>
        </w:tc>
        <w:tc>
          <w:tcPr>
            <w:tcW w:w="859" w:type="pct"/>
            <w:vAlign w:val="bottom"/>
            <w:hideMark/>
          </w:tcPr>
          <w:p w14:paraId="218F3A1F"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0EB57E4C"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63BAE493"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857" w:type="pct"/>
            <w:vAlign w:val="bottom"/>
            <w:hideMark/>
          </w:tcPr>
          <w:p w14:paraId="13DFD9BC"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B843EB" w:rsidRPr="00AE77A4" w14:paraId="5C0A230B"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07E114E" w14:textId="77777777" w:rsidR="00B843EB" w:rsidRPr="00AE77A4" w:rsidRDefault="00B843EB" w:rsidP="00B843EB">
            <w:pPr>
              <w:pStyle w:val="Tabletext"/>
              <w:rPr>
                <w:rFonts w:asciiTheme="majorHAnsi" w:hAnsiTheme="majorHAnsi"/>
                <w:b/>
                <w:lang w:eastAsia="zh-CN"/>
              </w:rPr>
            </w:pPr>
            <w:r w:rsidRPr="00AE77A4">
              <w:rPr>
                <w:rFonts w:asciiTheme="majorHAnsi" w:hAnsiTheme="majorHAnsi"/>
                <w:b/>
                <w:lang w:eastAsia="zh-CN"/>
              </w:rPr>
              <w:t>NSW Murray Above</w:t>
            </w:r>
          </w:p>
        </w:tc>
        <w:tc>
          <w:tcPr>
            <w:tcW w:w="859" w:type="pct"/>
            <w:vAlign w:val="bottom"/>
            <w:hideMark/>
          </w:tcPr>
          <w:p w14:paraId="0F6AC890"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vAlign w:val="bottom"/>
            <w:hideMark/>
          </w:tcPr>
          <w:p w14:paraId="0E9CED05"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vAlign w:val="bottom"/>
            <w:hideMark/>
          </w:tcPr>
          <w:p w14:paraId="353D8ED7"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vAlign w:val="bottom"/>
          </w:tcPr>
          <w:p w14:paraId="159DA686"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B843EB" w:rsidRPr="00AE77A4" w14:paraId="6F88CCB7"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0BEF37F6"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Goulburn Broken</w:t>
            </w:r>
          </w:p>
        </w:tc>
        <w:tc>
          <w:tcPr>
            <w:tcW w:w="859" w:type="pct"/>
            <w:vAlign w:val="bottom"/>
            <w:hideMark/>
          </w:tcPr>
          <w:p w14:paraId="73429F79"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1016" w:type="pct"/>
            <w:vAlign w:val="bottom"/>
            <w:hideMark/>
          </w:tcPr>
          <w:p w14:paraId="5DECCD41"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608B30D2"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56DCCBF1"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r>
      <w:tr w:rsidR="00B843EB" w:rsidRPr="00AE77A4" w14:paraId="5FC6163E"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6E228575"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Murray</w:t>
            </w:r>
          </w:p>
        </w:tc>
        <w:tc>
          <w:tcPr>
            <w:tcW w:w="859" w:type="pct"/>
            <w:vAlign w:val="bottom"/>
            <w:hideMark/>
          </w:tcPr>
          <w:p w14:paraId="3D66D8CF"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72.14%</w:t>
            </w:r>
          </w:p>
        </w:tc>
        <w:tc>
          <w:tcPr>
            <w:tcW w:w="1016" w:type="pct"/>
            <w:vAlign w:val="bottom"/>
            <w:hideMark/>
          </w:tcPr>
          <w:p w14:paraId="2D98480E"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28.82%</w:t>
            </w:r>
          </w:p>
        </w:tc>
        <w:tc>
          <w:tcPr>
            <w:tcW w:w="782" w:type="pct"/>
            <w:vAlign w:val="bottom"/>
            <w:hideMark/>
          </w:tcPr>
          <w:p w14:paraId="4611062B"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69.54%</w:t>
            </w:r>
          </w:p>
        </w:tc>
        <w:tc>
          <w:tcPr>
            <w:tcW w:w="857" w:type="pct"/>
            <w:vAlign w:val="bottom"/>
            <w:hideMark/>
          </w:tcPr>
          <w:p w14:paraId="16268B98"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65.36%</w:t>
            </w:r>
          </w:p>
        </w:tc>
      </w:tr>
      <w:tr w:rsidR="00B843EB" w:rsidRPr="00AE77A4" w14:paraId="2065057B"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4D502210"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Murrumbidgee</w:t>
            </w:r>
          </w:p>
        </w:tc>
        <w:tc>
          <w:tcPr>
            <w:tcW w:w="859" w:type="pct"/>
            <w:vAlign w:val="bottom"/>
            <w:hideMark/>
          </w:tcPr>
          <w:p w14:paraId="16379BFA"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6E678954"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150C4E9C"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14306A27"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r>
      <w:tr w:rsidR="00B843EB" w:rsidRPr="00AE77A4" w14:paraId="1BB05C44"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E8FF2B5" w14:textId="77777777" w:rsidR="00B843EB" w:rsidRPr="00AE77A4" w:rsidRDefault="00B843EB" w:rsidP="00B843EB">
            <w:pPr>
              <w:pStyle w:val="Tabletext"/>
              <w:rPr>
                <w:rFonts w:asciiTheme="majorHAnsi" w:hAnsiTheme="majorHAnsi"/>
                <w:lang w:eastAsia="zh-CN"/>
              </w:rPr>
            </w:pPr>
            <w:r w:rsidRPr="00AE77A4">
              <w:rPr>
                <w:rFonts w:asciiTheme="majorHAnsi" w:hAnsiTheme="majorHAnsi"/>
                <w:lang w:eastAsia="zh-CN"/>
              </w:rPr>
              <w:t>North East</w:t>
            </w:r>
          </w:p>
        </w:tc>
        <w:tc>
          <w:tcPr>
            <w:tcW w:w="859" w:type="pct"/>
            <w:vAlign w:val="bottom"/>
            <w:hideMark/>
          </w:tcPr>
          <w:p w14:paraId="535EFE57"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0.26%</w:t>
            </w:r>
          </w:p>
        </w:tc>
        <w:tc>
          <w:tcPr>
            <w:tcW w:w="1016" w:type="pct"/>
            <w:vAlign w:val="bottom"/>
            <w:hideMark/>
          </w:tcPr>
          <w:p w14:paraId="7E5041B8"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67F6222F"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0.21%</w:t>
            </w:r>
          </w:p>
        </w:tc>
        <w:tc>
          <w:tcPr>
            <w:tcW w:w="857" w:type="pct"/>
            <w:vAlign w:val="bottom"/>
            <w:hideMark/>
          </w:tcPr>
          <w:p w14:paraId="688A461B" w14:textId="77777777" w:rsidR="00B843EB" w:rsidRPr="00AE77A4" w:rsidRDefault="00B843EB" w:rsidP="00B843EB">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0.19%</w:t>
            </w:r>
          </w:p>
        </w:tc>
      </w:tr>
    </w:tbl>
    <w:p w14:paraId="53D63D6F" w14:textId="77777777" w:rsidR="00AE77A4" w:rsidRDefault="00AE77A4">
      <w:r>
        <w:br w:type="page"/>
      </w:r>
    </w:p>
    <w:tbl>
      <w:tblPr>
        <w:tblStyle w:val="ABAREStablecenteralign"/>
        <w:tblW w:w="5000" w:type="pct"/>
        <w:tblLayout w:type="fixed"/>
        <w:tblLook w:val="04A0" w:firstRow="1" w:lastRow="0" w:firstColumn="1" w:lastColumn="0" w:noHBand="0" w:noVBand="1"/>
      </w:tblPr>
      <w:tblGrid>
        <w:gridCol w:w="2695"/>
        <w:gridCol w:w="1558"/>
        <w:gridCol w:w="1843"/>
        <w:gridCol w:w="1419"/>
        <w:gridCol w:w="1555"/>
      </w:tblGrid>
      <w:tr w:rsidR="00AE77A4" w:rsidRPr="00AE77A4" w14:paraId="19D8CF43" w14:textId="77777777" w:rsidTr="00B843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7D06A1A" w14:textId="610D3C7C"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lastRenderedPageBreak/>
              <w:t>NSW Murray Below</w:t>
            </w:r>
          </w:p>
        </w:tc>
        <w:tc>
          <w:tcPr>
            <w:tcW w:w="859" w:type="pct"/>
          </w:tcPr>
          <w:p w14:paraId="718359A2" w14:textId="692F1450" w:rsidR="00AE77A4" w:rsidRPr="00AE77A4" w:rsidRDefault="00AE77A4" w:rsidP="00AE77A4">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Irrigated cropping area</w:t>
            </w:r>
          </w:p>
        </w:tc>
        <w:tc>
          <w:tcPr>
            <w:tcW w:w="1016" w:type="pct"/>
          </w:tcPr>
          <w:p w14:paraId="57129529" w14:textId="4E2B3D38" w:rsidR="00AE77A4" w:rsidRPr="00AE77A4" w:rsidRDefault="00AE77A4" w:rsidP="00AE77A4">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r w:rsidRPr="00AE77A4">
              <w:rPr>
                <w:rFonts w:asciiTheme="majorHAnsi" w:hAnsiTheme="majorHAnsi"/>
                <w:lang w:eastAsia="zh-CN"/>
              </w:rPr>
              <w:t>Irrigated horticultural area</w:t>
            </w:r>
          </w:p>
        </w:tc>
        <w:tc>
          <w:tcPr>
            <w:tcW w:w="782" w:type="pct"/>
          </w:tcPr>
          <w:p w14:paraId="7EF122BA" w14:textId="6BD8665B" w:rsidR="00AE77A4" w:rsidRPr="00AE77A4" w:rsidRDefault="00AE77A4" w:rsidP="00AE77A4">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r w:rsidRPr="00AE77A4">
              <w:rPr>
                <w:rFonts w:asciiTheme="majorHAnsi" w:hAnsiTheme="majorHAnsi"/>
                <w:lang w:eastAsia="zh-CN"/>
              </w:rPr>
              <w:t>Irrigated pasture area</w:t>
            </w:r>
          </w:p>
        </w:tc>
        <w:tc>
          <w:tcPr>
            <w:tcW w:w="857" w:type="pct"/>
          </w:tcPr>
          <w:p w14:paraId="03CE3BCD" w14:textId="67DBA92B" w:rsidR="00AE77A4" w:rsidRPr="00AE77A4" w:rsidRDefault="00AE77A4" w:rsidP="00AE77A4">
            <w:pPr>
              <w:pStyle w:val="Tabletext"/>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r w:rsidRPr="00AE77A4">
              <w:rPr>
                <w:rFonts w:asciiTheme="majorHAnsi" w:hAnsiTheme="majorHAnsi"/>
                <w:lang w:eastAsia="zh-CN"/>
              </w:rPr>
              <w:t>Total irrigated area</w:t>
            </w:r>
          </w:p>
        </w:tc>
      </w:tr>
      <w:tr w:rsidR="00AE77A4" w:rsidRPr="00AE77A4" w14:paraId="477FC1E1"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D940220"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Goulburn Broken</w:t>
            </w:r>
          </w:p>
        </w:tc>
        <w:tc>
          <w:tcPr>
            <w:tcW w:w="859" w:type="pct"/>
            <w:vAlign w:val="bottom"/>
            <w:hideMark/>
          </w:tcPr>
          <w:p w14:paraId="222255BA"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vAlign w:val="bottom"/>
            <w:hideMark/>
          </w:tcPr>
          <w:p w14:paraId="1A3F7AB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10539686"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71C25690"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r>
      <w:tr w:rsidR="00AE77A4" w:rsidRPr="00AE77A4" w14:paraId="1D5577C1"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0B3DC06A"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Mallee</w:t>
            </w:r>
          </w:p>
        </w:tc>
        <w:tc>
          <w:tcPr>
            <w:tcW w:w="859" w:type="pct"/>
            <w:vAlign w:val="bottom"/>
            <w:hideMark/>
          </w:tcPr>
          <w:p w14:paraId="5B0B56A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1016" w:type="pct"/>
            <w:vAlign w:val="bottom"/>
            <w:hideMark/>
          </w:tcPr>
          <w:p w14:paraId="5D08550E"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23B3D4C0"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0.03%</w:t>
            </w:r>
          </w:p>
        </w:tc>
        <w:tc>
          <w:tcPr>
            <w:tcW w:w="857" w:type="pct"/>
            <w:vAlign w:val="bottom"/>
            <w:hideMark/>
          </w:tcPr>
          <w:p w14:paraId="44F59B5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AE77A4" w:rsidRPr="00AE77A4" w14:paraId="0FEE84A9"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72DFF975"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Murray</w:t>
            </w:r>
          </w:p>
        </w:tc>
        <w:tc>
          <w:tcPr>
            <w:tcW w:w="859" w:type="pct"/>
            <w:vAlign w:val="bottom"/>
            <w:hideMark/>
          </w:tcPr>
          <w:p w14:paraId="1571EF3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11.99%</w:t>
            </w:r>
          </w:p>
        </w:tc>
        <w:tc>
          <w:tcPr>
            <w:tcW w:w="1016" w:type="pct"/>
            <w:vAlign w:val="bottom"/>
            <w:hideMark/>
          </w:tcPr>
          <w:p w14:paraId="4EF4138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13.28%</w:t>
            </w:r>
          </w:p>
        </w:tc>
        <w:tc>
          <w:tcPr>
            <w:tcW w:w="782" w:type="pct"/>
            <w:vAlign w:val="bottom"/>
            <w:hideMark/>
          </w:tcPr>
          <w:p w14:paraId="049E4BD6"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17.41%</w:t>
            </w:r>
          </w:p>
        </w:tc>
        <w:tc>
          <w:tcPr>
            <w:tcW w:w="857" w:type="pct"/>
            <w:vAlign w:val="bottom"/>
            <w:hideMark/>
          </w:tcPr>
          <w:p w14:paraId="47CFF4C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15.49%</w:t>
            </w:r>
          </w:p>
        </w:tc>
      </w:tr>
      <w:tr w:rsidR="00AE77A4" w:rsidRPr="00AE77A4" w14:paraId="1CB0B375"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4C63FF5E"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Murrumbidgee</w:t>
            </w:r>
          </w:p>
        </w:tc>
        <w:tc>
          <w:tcPr>
            <w:tcW w:w="859" w:type="pct"/>
            <w:vAlign w:val="bottom"/>
            <w:hideMark/>
          </w:tcPr>
          <w:p w14:paraId="334886E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c>
          <w:tcPr>
            <w:tcW w:w="1016" w:type="pct"/>
            <w:vAlign w:val="bottom"/>
            <w:hideMark/>
          </w:tcPr>
          <w:p w14:paraId="006CFA6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vAlign w:val="bottom"/>
            <w:hideMark/>
          </w:tcPr>
          <w:p w14:paraId="6FCF261E"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vAlign w:val="bottom"/>
            <w:hideMark/>
          </w:tcPr>
          <w:p w14:paraId="78F651E5"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0.03%</w:t>
            </w:r>
          </w:p>
        </w:tc>
      </w:tr>
      <w:tr w:rsidR="00AE77A4" w:rsidRPr="00AE77A4" w14:paraId="7F17C65A" w14:textId="77777777" w:rsidTr="0079654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41E14D52"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North Central</w:t>
            </w:r>
          </w:p>
        </w:tc>
        <w:tc>
          <w:tcPr>
            <w:tcW w:w="859" w:type="pct"/>
            <w:vAlign w:val="bottom"/>
            <w:hideMark/>
          </w:tcPr>
          <w:p w14:paraId="7B601701"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0.03%</w:t>
            </w:r>
          </w:p>
        </w:tc>
        <w:tc>
          <w:tcPr>
            <w:tcW w:w="1016" w:type="pct"/>
            <w:vAlign w:val="bottom"/>
            <w:hideMark/>
          </w:tcPr>
          <w:p w14:paraId="305F87DC"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0.03%</w:t>
            </w:r>
          </w:p>
        </w:tc>
        <w:tc>
          <w:tcPr>
            <w:tcW w:w="782" w:type="pct"/>
            <w:vAlign w:val="bottom"/>
            <w:hideMark/>
          </w:tcPr>
          <w:p w14:paraId="5BEBDE8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0.05%</w:t>
            </w:r>
          </w:p>
        </w:tc>
        <w:tc>
          <w:tcPr>
            <w:tcW w:w="857" w:type="pct"/>
            <w:vAlign w:val="bottom"/>
            <w:hideMark/>
          </w:tcPr>
          <w:p w14:paraId="02C5F36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r>
      <w:tr w:rsidR="00AE77A4" w:rsidRPr="00AE77A4" w14:paraId="3B359FA4"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4E216847" w14:textId="77777777" w:rsidR="00AE77A4" w:rsidRPr="00AE77A4" w:rsidRDefault="00AE77A4" w:rsidP="00AE77A4">
            <w:pPr>
              <w:pStyle w:val="Tabletext"/>
              <w:rPr>
                <w:rFonts w:asciiTheme="majorHAnsi" w:hAnsiTheme="majorHAnsi"/>
                <w:b/>
                <w:lang w:eastAsia="zh-CN"/>
              </w:rPr>
            </w:pPr>
            <w:r w:rsidRPr="00AE77A4">
              <w:rPr>
                <w:rFonts w:asciiTheme="majorHAnsi" w:hAnsiTheme="majorHAnsi"/>
                <w:b/>
                <w:lang w:eastAsia="zh-CN"/>
              </w:rPr>
              <w:t>SA Murray</w:t>
            </w:r>
          </w:p>
        </w:tc>
        <w:tc>
          <w:tcPr>
            <w:tcW w:w="859" w:type="pct"/>
          </w:tcPr>
          <w:p w14:paraId="72AA46D4"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lang w:eastAsia="zh-CN"/>
              </w:rPr>
            </w:pPr>
          </w:p>
        </w:tc>
        <w:tc>
          <w:tcPr>
            <w:tcW w:w="1016" w:type="pct"/>
          </w:tcPr>
          <w:p w14:paraId="096C2775"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lang w:eastAsia="zh-CN"/>
              </w:rPr>
            </w:pPr>
          </w:p>
        </w:tc>
        <w:tc>
          <w:tcPr>
            <w:tcW w:w="782" w:type="pct"/>
          </w:tcPr>
          <w:p w14:paraId="1532717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lang w:eastAsia="zh-CN"/>
              </w:rPr>
            </w:pPr>
          </w:p>
        </w:tc>
        <w:tc>
          <w:tcPr>
            <w:tcW w:w="857" w:type="pct"/>
          </w:tcPr>
          <w:p w14:paraId="4B37EAC0"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sz w:val="20"/>
                <w:szCs w:val="20"/>
                <w:lang w:eastAsia="zh-CN"/>
              </w:rPr>
            </w:pPr>
          </w:p>
        </w:tc>
      </w:tr>
      <w:tr w:rsidR="00AE77A4" w:rsidRPr="00AE77A4" w14:paraId="4EB1FBF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133A32E5"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Adelaide and Mount Lofty Ranges</w:t>
            </w:r>
          </w:p>
        </w:tc>
        <w:tc>
          <w:tcPr>
            <w:tcW w:w="859" w:type="pct"/>
            <w:hideMark/>
          </w:tcPr>
          <w:p w14:paraId="3ABF2647"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hideMark/>
          </w:tcPr>
          <w:p w14:paraId="522C3647"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782" w:type="pct"/>
            <w:hideMark/>
          </w:tcPr>
          <w:p w14:paraId="052B1C63"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hideMark/>
          </w:tcPr>
          <w:p w14:paraId="61ECA63A"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AE77A4" w:rsidRPr="00AE77A4" w14:paraId="3A6ACF7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1D1C77CB"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Northern and Yorke</w:t>
            </w:r>
          </w:p>
        </w:tc>
        <w:tc>
          <w:tcPr>
            <w:tcW w:w="859" w:type="pct"/>
            <w:hideMark/>
          </w:tcPr>
          <w:p w14:paraId="682C75A5"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hideMark/>
          </w:tcPr>
          <w:p w14:paraId="0CAA1F0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2.05%</w:t>
            </w:r>
          </w:p>
        </w:tc>
        <w:tc>
          <w:tcPr>
            <w:tcW w:w="782" w:type="pct"/>
            <w:hideMark/>
          </w:tcPr>
          <w:p w14:paraId="7575DC9C"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0.79%</w:t>
            </w:r>
          </w:p>
        </w:tc>
        <w:tc>
          <w:tcPr>
            <w:tcW w:w="857" w:type="pct"/>
            <w:hideMark/>
          </w:tcPr>
          <w:p w14:paraId="459D30E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1.46%</w:t>
            </w:r>
          </w:p>
        </w:tc>
      </w:tr>
      <w:tr w:rsidR="00AE77A4" w:rsidRPr="00AE77A4" w14:paraId="049C63ED"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EA4BF46"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SA Murray Darling Basin</w:t>
            </w:r>
          </w:p>
        </w:tc>
        <w:tc>
          <w:tcPr>
            <w:tcW w:w="859" w:type="pct"/>
            <w:hideMark/>
          </w:tcPr>
          <w:p w14:paraId="014AB421"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55.64%</w:t>
            </w:r>
          </w:p>
        </w:tc>
        <w:tc>
          <w:tcPr>
            <w:tcW w:w="1016" w:type="pct"/>
            <w:hideMark/>
          </w:tcPr>
          <w:p w14:paraId="29ED055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76.55%</w:t>
            </w:r>
          </w:p>
        </w:tc>
        <w:tc>
          <w:tcPr>
            <w:tcW w:w="782" w:type="pct"/>
            <w:hideMark/>
          </w:tcPr>
          <w:p w14:paraId="04F2D305"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40.82%</w:t>
            </w:r>
          </w:p>
        </w:tc>
        <w:tc>
          <w:tcPr>
            <w:tcW w:w="857" w:type="pct"/>
            <w:hideMark/>
          </w:tcPr>
          <w:p w14:paraId="729621D2"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67.51%</w:t>
            </w:r>
          </w:p>
        </w:tc>
      </w:tr>
      <w:tr w:rsidR="00AE77A4" w:rsidRPr="00AE77A4" w14:paraId="65B6E21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7EB222E2"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South East</w:t>
            </w:r>
          </w:p>
        </w:tc>
        <w:tc>
          <w:tcPr>
            <w:tcW w:w="859" w:type="pct"/>
            <w:hideMark/>
          </w:tcPr>
          <w:p w14:paraId="12F12341"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0.13%</w:t>
            </w:r>
          </w:p>
        </w:tc>
        <w:tc>
          <w:tcPr>
            <w:tcW w:w="1016" w:type="pct"/>
            <w:hideMark/>
          </w:tcPr>
          <w:p w14:paraId="47E21E7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0.38%</w:t>
            </w:r>
          </w:p>
        </w:tc>
        <w:tc>
          <w:tcPr>
            <w:tcW w:w="782" w:type="pct"/>
            <w:hideMark/>
          </w:tcPr>
          <w:p w14:paraId="48B8DC95"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1.34%</w:t>
            </w:r>
          </w:p>
        </w:tc>
        <w:tc>
          <w:tcPr>
            <w:tcW w:w="857" w:type="pct"/>
            <w:hideMark/>
          </w:tcPr>
          <w:p w14:paraId="76F30FE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0.89%</w:t>
            </w:r>
          </w:p>
        </w:tc>
      </w:tr>
      <w:tr w:rsidR="00AE77A4" w:rsidRPr="00AE77A4" w14:paraId="0AB0530F"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340C9B3F" w14:textId="77777777" w:rsidR="00AE77A4" w:rsidRPr="00AE77A4" w:rsidRDefault="00AE77A4" w:rsidP="00AE77A4">
            <w:pPr>
              <w:pStyle w:val="Tabletext"/>
              <w:rPr>
                <w:rFonts w:asciiTheme="majorHAnsi" w:hAnsiTheme="majorHAnsi"/>
                <w:b/>
                <w:lang w:eastAsia="zh-CN"/>
              </w:rPr>
            </w:pPr>
            <w:r w:rsidRPr="00AE77A4">
              <w:rPr>
                <w:rFonts w:asciiTheme="majorHAnsi" w:hAnsiTheme="majorHAnsi"/>
                <w:b/>
                <w:lang w:eastAsia="zh-CN"/>
              </w:rPr>
              <w:t>VIC Murray Above</w:t>
            </w:r>
          </w:p>
        </w:tc>
        <w:tc>
          <w:tcPr>
            <w:tcW w:w="859" w:type="pct"/>
            <w:hideMark/>
          </w:tcPr>
          <w:p w14:paraId="62AC8245"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hideMark/>
          </w:tcPr>
          <w:p w14:paraId="0F0E8EB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hideMark/>
          </w:tcPr>
          <w:p w14:paraId="3C861A23"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tcPr>
          <w:p w14:paraId="7FA57CC3"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AE77A4" w:rsidRPr="00AE77A4" w14:paraId="0ACE9905"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296F10A3"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Goulburn Broken</w:t>
            </w:r>
          </w:p>
        </w:tc>
        <w:tc>
          <w:tcPr>
            <w:tcW w:w="859" w:type="pct"/>
            <w:hideMark/>
          </w:tcPr>
          <w:p w14:paraId="24DDFAC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21.41%</w:t>
            </w:r>
          </w:p>
        </w:tc>
        <w:tc>
          <w:tcPr>
            <w:tcW w:w="1016" w:type="pct"/>
            <w:hideMark/>
          </w:tcPr>
          <w:p w14:paraId="72EB9683"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20.17%</w:t>
            </w:r>
          </w:p>
        </w:tc>
        <w:tc>
          <w:tcPr>
            <w:tcW w:w="782" w:type="pct"/>
            <w:hideMark/>
          </w:tcPr>
          <w:p w14:paraId="52FA0C16"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19.75%</w:t>
            </w:r>
          </w:p>
        </w:tc>
        <w:tc>
          <w:tcPr>
            <w:tcW w:w="857" w:type="pct"/>
            <w:hideMark/>
          </w:tcPr>
          <w:p w14:paraId="5DAE826E"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18.96%</w:t>
            </w:r>
          </w:p>
        </w:tc>
      </w:tr>
      <w:tr w:rsidR="00AE77A4" w:rsidRPr="00AE77A4" w14:paraId="434EF643"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32D10D3D"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Murray</w:t>
            </w:r>
          </w:p>
        </w:tc>
        <w:tc>
          <w:tcPr>
            <w:tcW w:w="859" w:type="pct"/>
            <w:hideMark/>
          </w:tcPr>
          <w:p w14:paraId="18F5AE63"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1016" w:type="pct"/>
            <w:hideMark/>
          </w:tcPr>
          <w:p w14:paraId="242FBB8C"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782" w:type="pct"/>
            <w:hideMark/>
          </w:tcPr>
          <w:p w14:paraId="563AAA72"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857" w:type="pct"/>
            <w:hideMark/>
          </w:tcPr>
          <w:p w14:paraId="23A9C74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r>
      <w:tr w:rsidR="00AE77A4" w:rsidRPr="00AE77A4" w14:paraId="620F69A1"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474A51C4"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North East</w:t>
            </w:r>
          </w:p>
        </w:tc>
        <w:tc>
          <w:tcPr>
            <w:tcW w:w="859" w:type="pct"/>
            <w:hideMark/>
          </w:tcPr>
          <w:p w14:paraId="092F957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41.51%</w:t>
            </w:r>
          </w:p>
        </w:tc>
        <w:tc>
          <w:tcPr>
            <w:tcW w:w="1016" w:type="pct"/>
            <w:hideMark/>
          </w:tcPr>
          <w:p w14:paraId="01868241"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25.78%</w:t>
            </w:r>
          </w:p>
        </w:tc>
        <w:tc>
          <w:tcPr>
            <w:tcW w:w="782" w:type="pct"/>
            <w:hideMark/>
          </w:tcPr>
          <w:p w14:paraId="203FA0A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55.35%</w:t>
            </w:r>
          </w:p>
        </w:tc>
        <w:tc>
          <w:tcPr>
            <w:tcW w:w="857" w:type="pct"/>
            <w:hideMark/>
          </w:tcPr>
          <w:p w14:paraId="4403D501"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45.95%</w:t>
            </w:r>
          </w:p>
        </w:tc>
      </w:tr>
      <w:tr w:rsidR="00AE77A4" w:rsidRPr="00AE77A4" w14:paraId="20BD1640"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04543AFB" w14:textId="77777777" w:rsidR="00AE77A4" w:rsidRPr="00AE77A4" w:rsidRDefault="00AE77A4" w:rsidP="00AE77A4">
            <w:pPr>
              <w:pStyle w:val="Tabletext"/>
              <w:rPr>
                <w:rFonts w:asciiTheme="majorHAnsi" w:hAnsiTheme="majorHAnsi"/>
                <w:b/>
                <w:lang w:eastAsia="zh-CN"/>
              </w:rPr>
            </w:pPr>
            <w:r w:rsidRPr="00AE77A4">
              <w:rPr>
                <w:rFonts w:asciiTheme="majorHAnsi" w:hAnsiTheme="majorHAnsi"/>
                <w:b/>
                <w:lang w:eastAsia="zh-CN"/>
              </w:rPr>
              <w:t>VIC Murray Below</w:t>
            </w:r>
          </w:p>
        </w:tc>
        <w:tc>
          <w:tcPr>
            <w:tcW w:w="859" w:type="pct"/>
            <w:hideMark/>
          </w:tcPr>
          <w:p w14:paraId="2E675B7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p>
        </w:tc>
        <w:tc>
          <w:tcPr>
            <w:tcW w:w="1016" w:type="pct"/>
            <w:hideMark/>
          </w:tcPr>
          <w:p w14:paraId="4E2CCB7B"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782" w:type="pct"/>
            <w:hideMark/>
          </w:tcPr>
          <w:p w14:paraId="27871310"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c>
          <w:tcPr>
            <w:tcW w:w="857" w:type="pct"/>
          </w:tcPr>
          <w:p w14:paraId="03F31D70"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szCs w:val="20"/>
                <w:lang w:eastAsia="zh-CN"/>
              </w:rPr>
            </w:pPr>
          </w:p>
        </w:tc>
      </w:tr>
      <w:tr w:rsidR="00AE77A4" w:rsidRPr="00AE77A4" w14:paraId="37C7CCB7"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110B5072"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Mallee</w:t>
            </w:r>
          </w:p>
        </w:tc>
        <w:tc>
          <w:tcPr>
            <w:tcW w:w="859" w:type="pct"/>
            <w:hideMark/>
          </w:tcPr>
          <w:p w14:paraId="7A19EBEB"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85.66%</w:t>
            </w:r>
          </w:p>
        </w:tc>
        <w:tc>
          <w:tcPr>
            <w:tcW w:w="1016" w:type="pct"/>
            <w:hideMark/>
          </w:tcPr>
          <w:p w14:paraId="4F7C93A7"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97.38%</w:t>
            </w:r>
          </w:p>
        </w:tc>
        <w:tc>
          <w:tcPr>
            <w:tcW w:w="782" w:type="pct"/>
            <w:hideMark/>
          </w:tcPr>
          <w:p w14:paraId="79393C1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91.65%</w:t>
            </w:r>
          </w:p>
        </w:tc>
        <w:tc>
          <w:tcPr>
            <w:tcW w:w="857" w:type="pct"/>
            <w:hideMark/>
          </w:tcPr>
          <w:p w14:paraId="23C42B8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92.27%</w:t>
            </w:r>
          </w:p>
        </w:tc>
      </w:tr>
      <w:tr w:rsidR="00AE77A4" w:rsidRPr="00AE77A4" w14:paraId="18997C39"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07055210"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Murray</w:t>
            </w:r>
          </w:p>
        </w:tc>
        <w:tc>
          <w:tcPr>
            <w:tcW w:w="859" w:type="pct"/>
            <w:hideMark/>
          </w:tcPr>
          <w:p w14:paraId="7229F186"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1016" w:type="pct"/>
            <w:hideMark/>
          </w:tcPr>
          <w:p w14:paraId="4E2386FB"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0.13%</w:t>
            </w:r>
          </w:p>
        </w:tc>
        <w:tc>
          <w:tcPr>
            <w:tcW w:w="782" w:type="pct"/>
            <w:hideMark/>
          </w:tcPr>
          <w:p w14:paraId="43FE3B34"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c>
          <w:tcPr>
            <w:tcW w:w="857" w:type="pct"/>
            <w:hideMark/>
          </w:tcPr>
          <w:p w14:paraId="0B320293"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0.04%</w:t>
            </w:r>
          </w:p>
        </w:tc>
      </w:tr>
      <w:tr w:rsidR="00AE77A4" w:rsidRPr="00AE77A4" w14:paraId="649CD15A"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33F60BC"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North Central</w:t>
            </w:r>
          </w:p>
        </w:tc>
        <w:tc>
          <w:tcPr>
            <w:tcW w:w="859" w:type="pct"/>
            <w:hideMark/>
          </w:tcPr>
          <w:p w14:paraId="416EF7D2"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27.94%</w:t>
            </w:r>
          </w:p>
        </w:tc>
        <w:tc>
          <w:tcPr>
            <w:tcW w:w="1016" w:type="pct"/>
            <w:hideMark/>
          </w:tcPr>
          <w:p w14:paraId="5925FFDD"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38.17%</w:t>
            </w:r>
          </w:p>
        </w:tc>
        <w:tc>
          <w:tcPr>
            <w:tcW w:w="782" w:type="pct"/>
            <w:hideMark/>
          </w:tcPr>
          <w:p w14:paraId="21D5B38E"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38.93%</w:t>
            </w:r>
          </w:p>
        </w:tc>
        <w:tc>
          <w:tcPr>
            <w:tcW w:w="857" w:type="pct"/>
            <w:hideMark/>
          </w:tcPr>
          <w:p w14:paraId="1E560224"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32.08%</w:t>
            </w:r>
          </w:p>
        </w:tc>
      </w:tr>
      <w:tr w:rsidR="00AE77A4" w:rsidRPr="00AE77A4" w14:paraId="47FD45D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6F186553"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SA Murray Darling Basin</w:t>
            </w:r>
          </w:p>
        </w:tc>
        <w:tc>
          <w:tcPr>
            <w:tcW w:w="859" w:type="pct"/>
            <w:hideMark/>
          </w:tcPr>
          <w:p w14:paraId="15F4161E"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1016" w:type="pct"/>
            <w:hideMark/>
          </w:tcPr>
          <w:p w14:paraId="50014534"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c>
          <w:tcPr>
            <w:tcW w:w="782" w:type="pct"/>
            <w:hideMark/>
          </w:tcPr>
          <w:p w14:paraId="5BC8C098"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0.01%</w:t>
            </w:r>
          </w:p>
        </w:tc>
        <w:tc>
          <w:tcPr>
            <w:tcW w:w="857" w:type="pct"/>
            <w:hideMark/>
          </w:tcPr>
          <w:p w14:paraId="3F9165DB"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0.02%</w:t>
            </w:r>
          </w:p>
        </w:tc>
      </w:tr>
      <w:tr w:rsidR="00AE77A4" w:rsidRPr="00AE77A4" w14:paraId="203BFFB8" w14:textId="77777777" w:rsidTr="00104BDD">
        <w:trPr>
          <w:trHeight w:val="300"/>
        </w:trPr>
        <w:tc>
          <w:tcPr>
            <w:cnfStyle w:val="001000000000" w:firstRow="0" w:lastRow="0" w:firstColumn="1" w:lastColumn="0" w:oddVBand="0" w:evenVBand="0" w:oddHBand="0" w:evenHBand="0" w:firstRowFirstColumn="0" w:firstRowLastColumn="0" w:lastRowFirstColumn="0" w:lastRowLastColumn="0"/>
            <w:tcW w:w="1486" w:type="pct"/>
            <w:hideMark/>
          </w:tcPr>
          <w:p w14:paraId="5A6D4DA7" w14:textId="77777777" w:rsidR="00AE77A4" w:rsidRPr="00AE77A4" w:rsidRDefault="00AE77A4" w:rsidP="00AE77A4">
            <w:pPr>
              <w:pStyle w:val="Tabletext"/>
              <w:rPr>
                <w:rFonts w:asciiTheme="majorHAnsi" w:hAnsiTheme="majorHAnsi"/>
                <w:lang w:eastAsia="zh-CN"/>
              </w:rPr>
            </w:pPr>
            <w:r w:rsidRPr="00AE77A4">
              <w:rPr>
                <w:rFonts w:asciiTheme="majorHAnsi" w:hAnsiTheme="majorHAnsi"/>
                <w:lang w:eastAsia="zh-CN"/>
              </w:rPr>
              <w:t>Wimmera</w:t>
            </w:r>
          </w:p>
        </w:tc>
        <w:tc>
          <w:tcPr>
            <w:tcW w:w="859" w:type="pct"/>
            <w:hideMark/>
          </w:tcPr>
          <w:p w14:paraId="2E48E5D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1.09%</w:t>
            </w:r>
          </w:p>
        </w:tc>
        <w:tc>
          <w:tcPr>
            <w:tcW w:w="1016" w:type="pct"/>
            <w:hideMark/>
          </w:tcPr>
          <w:p w14:paraId="3DA76C8F"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14.81%</w:t>
            </w:r>
          </w:p>
        </w:tc>
        <w:tc>
          <w:tcPr>
            <w:tcW w:w="782" w:type="pct"/>
            <w:hideMark/>
          </w:tcPr>
          <w:p w14:paraId="5AFC8DE7"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0.00%</w:t>
            </w:r>
          </w:p>
        </w:tc>
        <w:tc>
          <w:tcPr>
            <w:tcW w:w="857" w:type="pct"/>
            <w:hideMark/>
          </w:tcPr>
          <w:p w14:paraId="25DCBC99" w14:textId="77777777" w:rsidR="00AE77A4" w:rsidRPr="00AE77A4" w:rsidRDefault="00AE77A4" w:rsidP="00AE77A4">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eastAsia="zh-CN"/>
              </w:rPr>
            </w:pPr>
            <w:r w:rsidRPr="00AE77A4">
              <w:rPr>
                <w:rFonts w:asciiTheme="majorHAnsi" w:hAnsiTheme="majorHAnsi"/>
                <w:lang w:eastAsia="zh-CN"/>
              </w:rPr>
              <w:t>2.19%</w:t>
            </w:r>
          </w:p>
        </w:tc>
      </w:tr>
    </w:tbl>
    <w:p w14:paraId="38CDE9EB" w14:textId="77777777" w:rsidR="00104BDD" w:rsidRDefault="00104BDD" w:rsidP="00777422">
      <w:pPr>
        <w:pStyle w:val="Notesourcetext"/>
      </w:pPr>
    </w:p>
    <w:p w14:paraId="4E93BF6D" w14:textId="77777777" w:rsidR="00104BDD" w:rsidRDefault="00104BDD" w:rsidP="00104BDD">
      <w:pPr>
        <w:pStyle w:val="Heading2"/>
      </w:pPr>
      <w:bookmarkStart w:id="149" w:name="_Toc486527111"/>
      <w:bookmarkStart w:id="150" w:name="_Toc505345882"/>
      <w:r>
        <w:t>Commodity prices</w:t>
      </w:r>
      <w:bookmarkEnd w:id="149"/>
      <w:bookmarkEnd w:id="150"/>
    </w:p>
    <w:p w14:paraId="15239763" w14:textId="77777777" w:rsidR="00104BDD" w:rsidRPr="00667B7C" w:rsidRDefault="00104BDD" w:rsidP="00104BDD">
      <w:pPr>
        <w:pStyle w:val="BodyText1"/>
      </w:pPr>
      <w:r>
        <w:t xml:space="preserve">Annual commodity prices were sourced from the quarterly ABARES Agricultural Commodities publications. Given that in most cases the model </w:t>
      </w:r>
      <w:r w:rsidRPr="00667B7C">
        <w:t xml:space="preserve">activities capture a number of similar crop types, indexes are </w:t>
      </w:r>
      <w:r>
        <w:t>used to</w:t>
      </w:r>
      <w:r w:rsidRPr="00667B7C">
        <w:t xml:space="preserve"> measure of commodity prices (taken from </w:t>
      </w:r>
      <w:r>
        <w:t>‘</w:t>
      </w:r>
      <w:r w:rsidRPr="003F3F1B">
        <w:t>Indexes of prices received by farmers - Australia Table 1</w:t>
      </w:r>
      <w:r>
        <w:t>’</w:t>
      </w:r>
      <w:r w:rsidRPr="00667B7C">
        <w:t>)</w:t>
      </w:r>
      <w:r>
        <w:t>. I</w:t>
      </w:r>
      <w:r w:rsidRPr="00667B7C">
        <w:t xml:space="preserve">n the case of </w:t>
      </w:r>
      <w:r>
        <w:t>some</w:t>
      </w:r>
      <w:r w:rsidRPr="00667B7C">
        <w:t xml:space="preserve"> specific crop types</w:t>
      </w:r>
      <w:r>
        <w:t>,</w:t>
      </w:r>
      <w:r w:rsidRPr="00667B7C">
        <w:t xml:space="preserve"> </w:t>
      </w:r>
      <w:r>
        <w:t xml:space="preserve">commodity prices </w:t>
      </w:r>
      <w:r w:rsidRPr="00667B7C">
        <w:t xml:space="preserve">are </w:t>
      </w:r>
      <w:r>
        <w:t>measured</w:t>
      </w:r>
      <w:r w:rsidRPr="00667B7C">
        <w:t xml:space="preserve"> as the gross unit value</w:t>
      </w:r>
      <w:r>
        <w:t>s of farm products (taken from ‘</w:t>
      </w:r>
      <w:r w:rsidRPr="003F3F1B">
        <w:t>Gross</w:t>
      </w:r>
      <w:r>
        <w:t xml:space="preserve"> unit values of farm products - </w:t>
      </w:r>
      <w:r w:rsidRPr="003F3F1B">
        <w:t>Table 10</w:t>
      </w:r>
      <w:r>
        <w:t>’</w:t>
      </w:r>
      <w:r w:rsidRPr="00667B7C">
        <w:t xml:space="preserve">). </w:t>
      </w:r>
    </w:p>
    <w:p w14:paraId="11735BD4" w14:textId="77777777" w:rsidR="00104BDD" w:rsidRDefault="00104BDD" w:rsidP="00104BDD">
      <w:r w:rsidRPr="00667B7C">
        <w:t xml:space="preserve">The activities </w:t>
      </w:r>
      <w:r>
        <w:t>included</w:t>
      </w:r>
      <w:r w:rsidRPr="00667B7C">
        <w:t xml:space="preserve"> in the model along with the corresponding source of commodity price data are listed in </w:t>
      </w:r>
      <w:r w:rsidRPr="00667B7C">
        <w:fldChar w:fldCharType="begin"/>
      </w:r>
      <w:r w:rsidRPr="00667B7C">
        <w:instrText xml:space="preserve"> REF _Ref485637075 \h </w:instrText>
      </w:r>
      <w:r>
        <w:instrText xml:space="preserve"> \* MERGEFORMAT </w:instrText>
      </w:r>
      <w:r w:rsidRPr="00667B7C">
        <w:fldChar w:fldCharType="separate"/>
      </w:r>
      <w:r w:rsidR="00F709AB">
        <w:t>Table A6</w:t>
      </w:r>
      <w:r w:rsidRPr="00667B7C">
        <w:fldChar w:fldCharType="end"/>
      </w:r>
      <w:r w:rsidRPr="00667B7C">
        <w:t>.</w:t>
      </w:r>
    </w:p>
    <w:p w14:paraId="11968399" w14:textId="77777777" w:rsidR="00104BDD" w:rsidRPr="00F51429" w:rsidRDefault="00104BDD" w:rsidP="00104BDD">
      <w:pPr>
        <w:pStyle w:val="Heading4"/>
        <w:rPr>
          <w:rStyle w:val="Bold"/>
          <w:b/>
        </w:rPr>
      </w:pPr>
      <w:r>
        <w:rPr>
          <w:rStyle w:val="Bold"/>
          <w:b/>
        </w:rPr>
        <w:t>Notes on construction</w:t>
      </w:r>
    </w:p>
    <w:p w14:paraId="5643452B" w14:textId="77777777" w:rsidR="00104BDD" w:rsidRDefault="00104BDD" w:rsidP="00104BDD">
      <w:pPr>
        <w:pStyle w:val="Bulletlist-level1"/>
        <w:numPr>
          <w:ilvl w:val="0"/>
          <w:numId w:val="2"/>
        </w:numPr>
      </w:pPr>
      <w:r>
        <w:t>The 'total grains' price index is used for both cereals and broadacre activities as it includes both grains such as wheat, barley and sorghum as well as other broadacre crops such as lupins and canola. There are no separate indices for broadacre excluding cereals. However the prices of these crops are generally highly correlated through time.</w:t>
      </w:r>
    </w:p>
    <w:p w14:paraId="6DC1727D" w14:textId="77777777" w:rsidR="00104BDD" w:rsidRDefault="00104BDD" w:rsidP="00C67DD0">
      <w:pPr>
        <w:pStyle w:val="Bulletlist-level1"/>
        <w:numPr>
          <w:ilvl w:val="0"/>
          <w:numId w:val="16"/>
        </w:numPr>
      </w:pPr>
      <w:r>
        <w:t>Prices for commodities are assumed to be the same across regions.</w:t>
      </w:r>
    </w:p>
    <w:p w14:paraId="31520685" w14:textId="77777777" w:rsidR="00104BDD" w:rsidRDefault="00104BDD" w:rsidP="00104BDD">
      <w:pPr>
        <w:pStyle w:val="Heading4"/>
      </w:pPr>
      <w:r>
        <w:lastRenderedPageBreak/>
        <w:t>Sources</w:t>
      </w:r>
    </w:p>
    <w:p w14:paraId="32D0DF61" w14:textId="3F0446A3" w:rsidR="00104BDD" w:rsidRPr="003679EF" w:rsidRDefault="00104BDD" w:rsidP="00192FEB">
      <w:pPr>
        <w:pStyle w:val="Bulletlist-level1"/>
        <w:numPr>
          <w:ilvl w:val="0"/>
          <w:numId w:val="16"/>
        </w:numPr>
      </w:pPr>
      <w:r>
        <w:t>ABARES commodity price indices and gross unit values available from ABARES Agricultural C</w:t>
      </w:r>
      <w:r w:rsidRPr="00C1640B">
        <w:t>ommodities</w:t>
      </w:r>
      <w:r>
        <w:t xml:space="preserve"> (ABARES 2017a).</w:t>
      </w:r>
    </w:p>
    <w:p w14:paraId="12165585" w14:textId="77777777" w:rsidR="00104BDD" w:rsidRDefault="00104BDD" w:rsidP="00104BDD">
      <w:pPr>
        <w:pStyle w:val="Caption"/>
      </w:pPr>
      <w:bookmarkStart w:id="151" w:name="_Ref485637075"/>
      <w:bookmarkStart w:id="152" w:name="_Toc491356909"/>
      <w:bookmarkStart w:id="153" w:name="_Toc505345907"/>
      <w:r>
        <w:t xml:space="preserve">Table </w:t>
      </w:r>
      <w:r w:rsidR="003141BF">
        <w:t>A</w:t>
      </w:r>
      <w:fldSimple w:instr=" SEQ Table \* ARABIC ">
        <w:r w:rsidR="00F709AB">
          <w:rPr>
            <w:noProof/>
          </w:rPr>
          <w:t>6</w:t>
        </w:r>
      </w:fldSimple>
      <w:bookmarkEnd w:id="151"/>
      <w:r>
        <w:t xml:space="preserve"> ABARES commodity price sources and model activity groups</w:t>
      </w:r>
      <w:bookmarkEnd w:id="152"/>
      <w:bookmarkEnd w:id="153"/>
    </w:p>
    <w:tbl>
      <w:tblPr>
        <w:tblStyle w:val="ABAREStableleftalign"/>
        <w:tblW w:w="0" w:type="auto"/>
        <w:tblLook w:val="0000" w:firstRow="0" w:lastRow="0" w:firstColumn="0" w:lastColumn="0" w:noHBand="0" w:noVBand="0"/>
      </w:tblPr>
      <w:tblGrid>
        <w:gridCol w:w="2267"/>
        <w:gridCol w:w="2267"/>
        <w:gridCol w:w="2268"/>
        <w:gridCol w:w="2268"/>
      </w:tblGrid>
      <w:tr w:rsidR="00104BDD" w14:paraId="04624312" w14:textId="77777777" w:rsidTr="0079654D">
        <w:tc>
          <w:tcPr>
            <w:tcW w:w="2267" w:type="dxa"/>
          </w:tcPr>
          <w:p w14:paraId="7DDB9B84" w14:textId="77777777" w:rsidR="00104BDD" w:rsidRPr="00D93B94" w:rsidRDefault="00104BDD" w:rsidP="0079654D">
            <w:pPr>
              <w:pStyle w:val="Tabletext"/>
              <w:rPr>
                <w:rStyle w:val="Bold"/>
              </w:rPr>
            </w:pPr>
            <w:r w:rsidRPr="00D93B94">
              <w:rPr>
                <w:rStyle w:val="Bold"/>
              </w:rPr>
              <w:t>Activity</w:t>
            </w:r>
          </w:p>
        </w:tc>
        <w:tc>
          <w:tcPr>
            <w:tcW w:w="2267" w:type="dxa"/>
          </w:tcPr>
          <w:p w14:paraId="6CEA0CBD" w14:textId="77777777" w:rsidR="00104BDD" w:rsidRPr="00D93B94" w:rsidRDefault="00104BDD" w:rsidP="0079654D">
            <w:pPr>
              <w:pStyle w:val="Tabletext"/>
              <w:rPr>
                <w:rStyle w:val="Bold"/>
              </w:rPr>
            </w:pPr>
            <w:r w:rsidRPr="00D93B94">
              <w:rPr>
                <w:rStyle w:val="Bold"/>
              </w:rPr>
              <w:t>ABARES commodity grouping</w:t>
            </w:r>
          </w:p>
        </w:tc>
        <w:tc>
          <w:tcPr>
            <w:tcW w:w="2268" w:type="dxa"/>
          </w:tcPr>
          <w:p w14:paraId="69F79D2D" w14:textId="77777777" w:rsidR="00104BDD" w:rsidRPr="00D93B94" w:rsidRDefault="00104BDD" w:rsidP="0079654D">
            <w:pPr>
              <w:pStyle w:val="Tabletext"/>
              <w:rPr>
                <w:rStyle w:val="Bold"/>
              </w:rPr>
            </w:pPr>
            <w:r>
              <w:rPr>
                <w:rStyle w:val="Bold"/>
              </w:rPr>
              <w:t>Units</w:t>
            </w:r>
          </w:p>
        </w:tc>
        <w:tc>
          <w:tcPr>
            <w:tcW w:w="2268" w:type="dxa"/>
          </w:tcPr>
          <w:p w14:paraId="5B55C48D" w14:textId="77777777" w:rsidR="00104BDD" w:rsidRPr="00D93B94" w:rsidRDefault="00104BDD" w:rsidP="0079654D">
            <w:pPr>
              <w:pStyle w:val="Tabletext"/>
              <w:rPr>
                <w:rStyle w:val="Bold"/>
              </w:rPr>
            </w:pPr>
            <w:r w:rsidRPr="00D93B94">
              <w:rPr>
                <w:rStyle w:val="Bold"/>
              </w:rPr>
              <w:t>Source</w:t>
            </w:r>
            <w:r>
              <w:rPr>
                <w:rStyle w:val="Bold"/>
              </w:rPr>
              <w:t xml:space="preserve"> table</w:t>
            </w:r>
          </w:p>
        </w:tc>
      </w:tr>
      <w:tr w:rsidR="00104BDD" w14:paraId="16590ED7" w14:textId="77777777" w:rsidTr="0079654D">
        <w:tc>
          <w:tcPr>
            <w:tcW w:w="2267" w:type="dxa"/>
          </w:tcPr>
          <w:p w14:paraId="48B3C7F4" w14:textId="77777777" w:rsidR="00104BDD" w:rsidRDefault="00104BDD" w:rsidP="0079654D">
            <w:pPr>
              <w:pStyle w:val="Tabletext"/>
            </w:pPr>
            <w:r>
              <w:t>Cotton</w:t>
            </w:r>
          </w:p>
        </w:tc>
        <w:tc>
          <w:tcPr>
            <w:tcW w:w="2267" w:type="dxa"/>
          </w:tcPr>
          <w:p w14:paraId="340AC13F" w14:textId="77777777" w:rsidR="00104BDD" w:rsidRDefault="00104BDD" w:rsidP="0079654D">
            <w:pPr>
              <w:pStyle w:val="Tabletext"/>
            </w:pPr>
            <w:r>
              <w:t>cotton</w:t>
            </w:r>
          </w:p>
        </w:tc>
        <w:tc>
          <w:tcPr>
            <w:tcW w:w="2268" w:type="dxa"/>
          </w:tcPr>
          <w:p w14:paraId="1BA44D0E" w14:textId="77777777" w:rsidR="00104BDD" w:rsidRDefault="00104BDD" w:rsidP="0079654D">
            <w:pPr>
              <w:pStyle w:val="Tabletext"/>
            </w:pPr>
            <w:r>
              <w:t>index</w:t>
            </w:r>
          </w:p>
        </w:tc>
        <w:tc>
          <w:tcPr>
            <w:tcW w:w="2268" w:type="dxa"/>
          </w:tcPr>
          <w:p w14:paraId="092CCA49" w14:textId="77777777" w:rsidR="00104BDD" w:rsidRPr="003F3F1B" w:rsidRDefault="00104BDD" w:rsidP="0079654D">
            <w:pPr>
              <w:pStyle w:val="Tabletext"/>
            </w:pPr>
            <w:r w:rsidRPr="003F3F1B">
              <w:t>Table 1</w:t>
            </w:r>
          </w:p>
        </w:tc>
      </w:tr>
      <w:tr w:rsidR="00104BDD" w14:paraId="0DE906EF" w14:textId="77777777" w:rsidTr="0079654D">
        <w:tc>
          <w:tcPr>
            <w:tcW w:w="2267" w:type="dxa"/>
          </w:tcPr>
          <w:p w14:paraId="719B0A0C" w14:textId="77777777" w:rsidR="00104BDD" w:rsidRDefault="00104BDD" w:rsidP="0079654D">
            <w:pPr>
              <w:pStyle w:val="Tabletext"/>
            </w:pPr>
            <w:r>
              <w:t>Fruits</w:t>
            </w:r>
          </w:p>
        </w:tc>
        <w:tc>
          <w:tcPr>
            <w:tcW w:w="2267" w:type="dxa"/>
          </w:tcPr>
          <w:p w14:paraId="63DD542F" w14:textId="77777777" w:rsidR="00104BDD" w:rsidRDefault="00104BDD" w:rsidP="0079654D">
            <w:pPr>
              <w:pStyle w:val="Tabletext"/>
            </w:pPr>
            <w:r>
              <w:t>fruit</w:t>
            </w:r>
          </w:p>
        </w:tc>
        <w:tc>
          <w:tcPr>
            <w:tcW w:w="2268" w:type="dxa"/>
          </w:tcPr>
          <w:p w14:paraId="3CF38995" w14:textId="77777777" w:rsidR="00104BDD" w:rsidRDefault="00104BDD" w:rsidP="0079654D">
            <w:pPr>
              <w:pStyle w:val="Tabletext"/>
            </w:pPr>
            <w:r>
              <w:t>index</w:t>
            </w:r>
          </w:p>
        </w:tc>
        <w:tc>
          <w:tcPr>
            <w:tcW w:w="2268" w:type="dxa"/>
          </w:tcPr>
          <w:p w14:paraId="65F1F24B" w14:textId="77777777" w:rsidR="00104BDD" w:rsidRPr="00667B7C" w:rsidRDefault="00104BDD" w:rsidP="0079654D">
            <w:pPr>
              <w:pStyle w:val="Tabletext"/>
            </w:pPr>
            <w:r w:rsidRPr="003F3F1B">
              <w:t>Table 1</w:t>
            </w:r>
          </w:p>
        </w:tc>
      </w:tr>
      <w:tr w:rsidR="00104BDD" w14:paraId="3CFA8113" w14:textId="77777777" w:rsidTr="0079654D">
        <w:tc>
          <w:tcPr>
            <w:tcW w:w="2267" w:type="dxa"/>
          </w:tcPr>
          <w:p w14:paraId="3FBBB094" w14:textId="77777777" w:rsidR="00104BDD" w:rsidRDefault="00104BDD" w:rsidP="0079654D">
            <w:pPr>
              <w:pStyle w:val="Tabletext"/>
            </w:pPr>
            <w:r>
              <w:t>Grapevines</w:t>
            </w:r>
          </w:p>
        </w:tc>
        <w:tc>
          <w:tcPr>
            <w:tcW w:w="2267" w:type="dxa"/>
          </w:tcPr>
          <w:p w14:paraId="1E71E89F" w14:textId="77777777" w:rsidR="00104BDD" w:rsidRDefault="00104BDD" w:rsidP="0079654D">
            <w:pPr>
              <w:pStyle w:val="Tabletext"/>
            </w:pPr>
            <w:r>
              <w:t>wine grapes</w:t>
            </w:r>
          </w:p>
        </w:tc>
        <w:tc>
          <w:tcPr>
            <w:tcW w:w="2268" w:type="dxa"/>
          </w:tcPr>
          <w:p w14:paraId="12F5E0D9" w14:textId="77777777" w:rsidR="00104BDD" w:rsidRDefault="00104BDD" w:rsidP="0079654D">
            <w:pPr>
              <w:pStyle w:val="Tabletext"/>
            </w:pPr>
            <w:r>
              <w:t>gross unit value</w:t>
            </w:r>
            <w:r w:rsidRPr="00D93B94">
              <w:t xml:space="preserve"> given in dollars per ton</w:t>
            </w:r>
          </w:p>
        </w:tc>
        <w:tc>
          <w:tcPr>
            <w:tcW w:w="2268" w:type="dxa"/>
          </w:tcPr>
          <w:p w14:paraId="7DBFAA70" w14:textId="77777777" w:rsidR="00104BDD" w:rsidRPr="00667B7C" w:rsidRDefault="00104BDD" w:rsidP="0079654D">
            <w:pPr>
              <w:pStyle w:val="Tabletext"/>
            </w:pPr>
            <w:r w:rsidRPr="003F3F1B">
              <w:t>Table 10</w:t>
            </w:r>
          </w:p>
        </w:tc>
      </w:tr>
      <w:tr w:rsidR="00104BDD" w14:paraId="6A7E911E" w14:textId="77777777" w:rsidTr="0079654D">
        <w:tc>
          <w:tcPr>
            <w:tcW w:w="2267" w:type="dxa"/>
          </w:tcPr>
          <w:p w14:paraId="71368F70" w14:textId="77777777" w:rsidR="00104BDD" w:rsidRDefault="00104BDD" w:rsidP="0079654D">
            <w:pPr>
              <w:pStyle w:val="Tabletext"/>
            </w:pPr>
            <w:r>
              <w:t>Other broadacre</w:t>
            </w:r>
          </w:p>
        </w:tc>
        <w:tc>
          <w:tcPr>
            <w:tcW w:w="2267" w:type="dxa"/>
          </w:tcPr>
          <w:p w14:paraId="5529BE36" w14:textId="77777777" w:rsidR="00104BDD" w:rsidRDefault="00104BDD" w:rsidP="0079654D">
            <w:pPr>
              <w:pStyle w:val="Tabletext"/>
            </w:pPr>
            <w:r>
              <w:t>total grains</w:t>
            </w:r>
          </w:p>
        </w:tc>
        <w:tc>
          <w:tcPr>
            <w:tcW w:w="2268" w:type="dxa"/>
          </w:tcPr>
          <w:p w14:paraId="3D7307A4" w14:textId="77777777" w:rsidR="00104BDD" w:rsidRDefault="00104BDD" w:rsidP="0079654D">
            <w:pPr>
              <w:pStyle w:val="Tabletext"/>
            </w:pPr>
            <w:r>
              <w:t>i</w:t>
            </w:r>
            <w:r w:rsidRPr="00D93B94">
              <w:t>ndex</w:t>
            </w:r>
          </w:p>
        </w:tc>
        <w:tc>
          <w:tcPr>
            <w:tcW w:w="2268" w:type="dxa"/>
          </w:tcPr>
          <w:p w14:paraId="00F8F93F" w14:textId="77777777" w:rsidR="00104BDD" w:rsidRPr="00667B7C" w:rsidRDefault="00104BDD" w:rsidP="0079654D">
            <w:pPr>
              <w:pStyle w:val="Tabletext"/>
            </w:pPr>
            <w:r w:rsidRPr="003F3F1B">
              <w:t>Table 1</w:t>
            </w:r>
          </w:p>
        </w:tc>
      </w:tr>
      <w:tr w:rsidR="00104BDD" w14:paraId="24116B6B" w14:textId="77777777" w:rsidTr="0079654D">
        <w:tc>
          <w:tcPr>
            <w:tcW w:w="2267" w:type="dxa"/>
          </w:tcPr>
          <w:p w14:paraId="149224B0" w14:textId="77777777" w:rsidR="00104BDD" w:rsidRDefault="00104BDD" w:rsidP="0079654D">
            <w:pPr>
              <w:pStyle w:val="Tabletext"/>
            </w:pPr>
            <w:r>
              <w:t>Other cereals</w:t>
            </w:r>
          </w:p>
        </w:tc>
        <w:tc>
          <w:tcPr>
            <w:tcW w:w="2267" w:type="dxa"/>
          </w:tcPr>
          <w:p w14:paraId="45962B62" w14:textId="77777777" w:rsidR="00104BDD" w:rsidRDefault="00104BDD" w:rsidP="0079654D">
            <w:pPr>
              <w:pStyle w:val="Tabletext"/>
            </w:pPr>
            <w:r>
              <w:t>total grains</w:t>
            </w:r>
          </w:p>
        </w:tc>
        <w:tc>
          <w:tcPr>
            <w:tcW w:w="2268" w:type="dxa"/>
          </w:tcPr>
          <w:p w14:paraId="2D0B3854" w14:textId="77777777" w:rsidR="00104BDD" w:rsidRDefault="00104BDD" w:rsidP="0079654D">
            <w:pPr>
              <w:pStyle w:val="Tabletext"/>
            </w:pPr>
            <w:r>
              <w:t>i</w:t>
            </w:r>
            <w:r w:rsidRPr="00D93B94">
              <w:t>ndex</w:t>
            </w:r>
          </w:p>
        </w:tc>
        <w:tc>
          <w:tcPr>
            <w:tcW w:w="2268" w:type="dxa"/>
          </w:tcPr>
          <w:p w14:paraId="227CAD4F" w14:textId="77777777" w:rsidR="00104BDD" w:rsidRPr="00667B7C" w:rsidRDefault="00104BDD" w:rsidP="0079654D">
            <w:pPr>
              <w:pStyle w:val="Tabletext"/>
            </w:pPr>
            <w:r w:rsidRPr="003F3F1B">
              <w:t>Table 1</w:t>
            </w:r>
          </w:p>
        </w:tc>
      </w:tr>
      <w:tr w:rsidR="00104BDD" w14:paraId="77D0915F" w14:textId="77777777" w:rsidTr="0079654D">
        <w:tc>
          <w:tcPr>
            <w:tcW w:w="2267" w:type="dxa"/>
          </w:tcPr>
          <w:p w14:paraId="4B52B8CB" w14:textId="77777777" w:rsidR="00104BDD" w:rsidRDefault="00104BDD" w:rsidP="0079654D">
            <w:pPr>
              <w:pStyle w:val="Tabletext"/>
            </w:pPr>
            <w:r>
              <w:t>Other crops</w:t>
            </w:r>
          </w:p>
        </w:tc>
        <w:tc>
          <w:tcPr>
            <w:tcW w:w="2267" w:type="dxa"/>
          </w:tcPr>
          <w:p w14:paraId="3F88242E" w14:textId="77777777" w:rsidR="00104BDD" w:rsidRDefault="00104BDD" w:rsidP="0079654D">
            <w:pPr>
              <w:pStyle w:val="Tabletext"/>
            </w:pPr>
            <w:r>
              <w:t>other crops</w:t>
            </w:r>
          </w:p>
        </w:tc>
        <w:tc>
          <w:tcPr>
            <w:tcW w:w="2268" w:type="dxa"/>
          </w:tcPr>
          <w:p w14:paraId="64E0C9C8" w14:textId="77777777" w:rsidR="00104BDD" w:rsidRDefault="00104BDD" w:rsidP="0079654D">
            <w:pPr>
              <w:pStyle w:val="Tabletext"/>
            </w:pPr>
            <w:r>
              <w:t>i</w:t>
            </w:r>
            <w:r w:rsidRPr="00D93B94">
              <w:t>ndex</w:t>
            </w:r>
          </w:p>
        </w:tc>
        <w:tc>
          <w:tcPr>
            <w:tcW w:w="2268" w:type="dxa"/>
          </w:tcPr>
          <w:p w14:paraId="1EA9EC07" w14:textId="77777777" w:rsidR="00104BDD" w:rsidRPr="00667B7C" w:rsidRDefault="00104BDD" w:rsidP="0079654D">
            <w:pPr>
              <w:pStyle w:val="Tabletext"/>
            </w:pPr>
            <w:r w:rsidRPr="003F3F1B">
              <w:t>Table 1</w:t>
            </w:r>
          </w:p>
        </w:tc>
      </w:tr>
      <w:tr w:rsidR="00104BDD" w14:paraId="11FD3E2D" w14:textId="77777777" w:rsidTr="0079654D">
        <w:tc>
          <w:tcPr>
            <w:tcW w:w="2267" w:type="dxa"/>
          </w:tcPr>
          <w:p w14:paraId="1765D8A2" w14:textId="77777777" w:rsidR="00104BDD" w:rsidRDefault="00104BDD" w:rsidP="0079654D">
            <w:pPr>
              <w:pStyle w:val="Tabletext"/>
            </w:pPr>
            <w:r>
              <w:t>Pastures - Dairy</w:t>
            </w:r>
          </w:p>
        </w:tc>
        <w:tc>
          <w:tcPr>
            <w:tcW w:w="2267" w:type="dxa"/>
          </w:tcPr>
          <w:p w14:paraId="393480B7" w14:textId="77777777" w:rsidR="00104BDD" w:rsidRDefault="00104BDD" w:rsidP="0079654D">
            <w:pPr>
              <w:pStyle w:val="Tabletext"/>
            </w:pPr>
            <w:r>
              <w:t>milk</w:t>
            </w:r>
          </w:p>
        </w:tc>
        <w:tc>
          <w:tcPr>
            <w:tcW w:w="2268" w:type="dxa"/>
          </w:tcPr>
          <w:p w14:paraId="2E3AB95C" w14:textId="77777777" w:rsidR="00104BDD" w:rsidRDefault="00104BDD" w:rsidP="0079654D">
            <w:pPr>
              <w:pStyle w:val="Tabletext"/>
            </w:pPr>
            <w:r>
              <w:t>i</w:t>
            </w:r>
            <w:r w:rsidRPr="00D93B94">
              <w:t>ndex</w:t>
            </w:r>
          </w:p>
        </w:tc>
        <w:tc>
          <w:tcPr>
            <w:tcW w:w="2268" w:type="dxa"/>
          </w:tcPr>
          <w:p w14:paraId="1DE5BFD6" w14:textId="77777777" w:rsidR="00104BDD" w:rsidRPr="00667B7C" w:rsidRDefault="00104BDD" w:rsidP="0079654D">
            <w:pPr>
              <w:pStyle w:val="Tabletext"/>
            </w:pPr>
            <w:r w:rsidRPr="003F3F1B">
              <w:t>Table 1</w:t>
            </w:r>
          </w:p>
        </w:tc>
      </w:tr>
      <w:tr w:rsidR="00104BDD" w14:paraId="595DE46F" w14:textId="77777777" w:rsidTr="0079654D">
        <w:tc>
          <w:tcPr>
            <w:tcW w:w="2267" w:type="dxa"/>
          </w:tcPr>
          <w:p w14:paraId="3B46F820" w14:textId="77777777" w:rsidR="00104BDD" w:rsidRDefault="00104BDD" w:rsidP="0079654D">
            <w:pPr>
              <w:pStyle w:val="Tabletext"/>
            </w:pPr>
            <w:r>
              <w:t>Pastures - Hay</w:t>
            </w:r>
          </w:p>
        </w:tc>
        <w:tc>
          <w:tcPr>
            <w:tcW w:w="2267" w:type="dxa"/>
          </w:tcPr>
          <w:p w14:paraId="2CA9AACF" w14:textId="77777777" w:rsidR="00104BDD" w:rsidRDefault="00104BDD" w:rsidP="0079654D">
            <w:pPr>
              <w:pStyle w:val="Tabletext"/>
            </w:pPr>
            <w:r>
              <w:t>hay</w:t>
            </w:r>
          </w:p>
        </w:tc>
        <w:tc>
          <w:tcPr>
            <w:tcW w:w="2268" w:type="dxa"/>
          </w:tcPr>
          <w:p w14:paraId="040A901C" w14:textId="77777777" w:rsidR="00104BDD" w:rsidRDefault="00104BDD" w:rsidP="0079654D">
            <w:pPr>
              <w:pStyle w:val="Tabletext"/>
            </w:pPr>
            <w:r>
              <w:t>i</w:t>
            </w:r>
            <w:r w:rsidRPr="00D93B94">
              <w:t>ndex</w:t>
            </w:r>
          </w:p>
        </w:tc>
        <w:tc>
          <w:tcPr>
            <w:tcW w:w="2268" w:type="dxa"/>
          </w:tcPr>
          <w:p w14:paraId="24472B89" w14:textId="77777777" w:rsidR="00104BDD" w:rsidRPr="00667B7C" w:rsidRDefault="00104BDD" w:rsidP="0079654D">
            <w:pPr>
              <w:pStyle w:val="Tabletext"/>
            </w:pPr>
            <w:r w:rsidRPr="003F3F1B">
              <w:t>Table 1</w:t>
            </w:r>
          </w:p>
        </w:tc>
      </w:tr>
      <w:tr w:rsidR="00104BDD" w14:paraId="552028D9" w14:textId="77777777" w:rsidTr="0079654D">
        <w:tc>
          <w:tcPr>
            <w:tcW w:w="2267" w:type="dxa"/>
          </w:tcPr>
          <w:p w14:paraId="021162F9" w14:textId="77777777" w:rsidR="00104BDD" w:rsidRDefault="00104BDD" w:rsidP="0079654D">
            <w:pPr>
              <w:pStyle w:val="Tabletext"/>
            </w:pPr>
            <w:r>
              <w:t>Rice</w:t>
            </w:r>
          </w:p>
        </w:tc>
        <w:tc>
          <w:tcPr>
            <w:tcW w:w="2267" w:type="dxa"/>
          </w:tcPr>
          <w:p w14:paraId="700EAC77" w14:textId="77777777" w:rsidR="00104BDD" w:rsidRDefault="00104BDD" w:rsidP="0079654D">
            <w:pPr>
              <w:pStyle w:val="Tabletext"/>
            </w:pPr>
            <w:r>
              <w:t>rice</w:t>
            </w:r>
          </w:p>
        </w:tc>
        <w:tc>
          <w:tcPr>
            <w:tcW w:w="2268" w:type="dxa"/>
          </w:tcPr>
          <w:p w14:paraId="7DFB5268" w14:textId="77777777" w:rsidR="00104BDD" w:rsidRDefault="00104BDD" w:rsidP="0079654D">
            <w:pPr>
              <w:pStyle w:val="Tabletext"/>
            </w:pPr>
            <w:r>
              <w:t>gross unit value</w:t>
            </w:r>
            <w:r w:rsidRPr="00D93B94">
              <w:t xml:space="preserve"> given in dollars per ton</w:t>
            </w:r>
          </w:p>
        </w:tc>
        <w:tc>
          <w:tcPr>
            <w:tcW w:w="2268" w:type="dxa"/>
          </w:tcPr>
          <w:p w14:paraId="2D955665" w14:textId="77777777" w:rsidR="00104BDD" w:rsidRPr="00667B7C" w:rsidRDefault="00104BDD" w:rsidP="0079654D">
            <w:pPr>
              <w:pStyle w:val="Tabletext"/>
            </w:pPr>
            <w:r w:rsidRPr="003F3F1B">
              <w:t>Table 10</w:t>
            </w:r>
          </w:p>
        </w:tc>
      </w:tr>
      <w:tr w:rsidR="00104BDD" w14:paraId="695856FD" w14:textId="77777777" w:rsidTr="0079654D">
        <w:tc>
          <w:tcPr>
            <w:tcW w:w="2267" w:type="dxa"/>
          </w:tcPr>
          <w:p w14:paraId="4DCBE399" w14:textId="77777777" w:rsidR="00104BDD" w:rsidRDefault="00104BDD" w:rsidP="0079654D">
            <w:pPr>
              <w:pStyle w:val="Tabletext"/>
            </w:pPr>
            <w:r>
              <w:t>Vegetables</w:t>
            </w:r>
          </w:p>
        </w:tc>
        <w:tc>
          <w:tcPr>
            <w:tcW w:w="2267" w:type="dxa"/>
          </w:tcPr>
          <w:p w14:paraId="21E74B76" w14:textId="77777777" w:rsidR="00104BDD" w:rsidRDefault="00104BDD" w:rsidP="0079654D">
            <w:pPr>
              <w:pStyle w:val="Tabletext"/>
            </w:pPr>
            <w:r>
              <w:t xml:space="preserve">vegetables </w:t>
            </w:r>
          </w:p>
        </w:tc>
        <w:tc>
          <w:tcPr>
            <w:tcW w:w="2268" w:type="dxa"/>
          </w:tcPr>
          <w:p w14:paraId="4146B067" w14:textId="77777777" w:rsidR="00104BDD" w:rsidRDefault="00104BDD" w:rsidP="0079654D">
            <w:pPr>
              <w:pStyle w:val="Tabletext"/>
            </w:pPr>
            <w:r>
              <w:t>i</w:t>
            </w:r>
            <w:r w:rsidRPr="00D93B94">
              <w:t>ndex</w:t>
            </w:r>
          </w:p>
        </w:tc>
        <w:tc>
          <w:tcPr>
            <w:tcW w:w="2268" w:type="dxa"/>
          </w:tcPr>
          <w:p w14:paraId="4FEA44A5" w14:textId="77777777" w:rsidR="00104BDD" w:rsidRPr="00667B7C" w:rsidRDefault="00104BDD" w:rsidP="0079654D">
            <w:pPr>
              <w:pStyle w:val="Tabletext"/>
            </w:pPr>
            <w:r w:rsidRPr="003F3F1B">
              <w:t>Table 1</w:t>
            </w:r>
          </w:p>
        </w:tc>
      </w:tr>
    </w:tbl>
    <w:p w14:paraId="7D0E1B12" w14:textId="77777777" w:rsidR="00104BDD" w:rsidRDefault="00104BDD" w:rsidP="00777422">
      <w:pPr>
        <w:pStyle w:val="Notesourcetext"/>
      </w:pPr>
      <w:r w:rsidRPr="003F3F1B">
        <w:t>Source: ABARES agricultural commodities publications</w:t>
      </w:r>
    </w:p>
    <w:p w14:paraId="33D4572B" w14:textId="77777777" w:rsidR="00786188" w:rsidRDefault="000A1BCE" w:rsidP="00B843EB">
      <w:pPr>
        <w:pStyle w:val="Heading1unnumberedchapter"/>
      </w:pPr>
      <w:bookmarkStart w:id="154" w:name="_Toc505345883"/>
      <w:r>
        <w:lastRenderedPageBreak/>
        <w:t xml:space="preserve">Appendix </w:t>
      </w:r>
      <w:r w:rsidR="00532986">
        <w:t>B</w:t>
      </w:r>
      <w:r w:rsidR="00786188">
        <w:t>: Solution algorithm</w:t>
      </w:r>
      <w:bookmarkEnd w:id="154"/>
    </w:p>
    <w:p w14:paraId="7420EA21" w14:textId="77777777" w:rsidR="00532986" w:rsidRDefault="00532986" w:rsidP="00532986">
      <w:r>
        <w:t xml:space="preserve">Recall from </w:t>
      </w:r>
      <w:r w:rsidR="00F85C2D">
        <w:t>chapter</w:t>
      </w:r>
      <w:r w:rsidR="00DF2364">
        <w:t xml:space="preserve"> 3, that a solution to the model is defined by a set of equilibrium prices for each region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it</m:t>
            </m:r>
          </m:sub>
          <m:sup>
            <m:r>
              <w:rPr>
                <w:rFonts w:ascii="Cambria Math" w:hAnsi="Cambria Math"/>
              </w:rPr>
              <m:t>*</m:t>
            </m:r>
          </m:sup>
        </m:sSubSup>
      </m:oMath>
      <w:r>
        <w:t xml:space="preserve"> (or equivalently </w:t>
      </w:r>
      <w:r w:rsidR="00DF2364">
        <w:t xml:space="preserve">set of </w:t>
      </w:r>
      <w:r>
        <w:t>net trade volumes) which maximise water use benefits subject to satisfying the market clearing, water availability and water demand conditions:</w:t>
      </w:r>
    </w:p>
    <w:p w14:paraId="2DC2E834" w14:textId="77777777" w:rsidR="00532986" w:rsidRPr="00532986" w:rsidRDefault="00220589" w:rsidP="00532986">
      <m:oMathPara>
        <m:oMathParaPr>
          <m:jc m:val="center"/>
        </m:oMathParaPr>
        <m:oMath>
          <m:limLow>
            <m:limLowPr>
              <m:ctrlPr>
                <w:rPr>
                  <w:rFonts w:ascii="Cambria Math" w:hAnsi="Cambria Math"/>
                </w:rPr>
              </m:ctrlPr>
            </m:limLowPr>
            <m:e>
              <m:r>
                <m:rPr>
                  <m:sty m:val="p"/>
                </m:rPr>
                <w:rPr>
                  <w:rFonts w:ascii="Cambria Math" w:hAnsi="Cambria Math"/>
                </w:rPr>
                <m:t>max</m:t>
              </m:r>
            </m:e>
            <m:lim>
              <m:sSub>
                <m:sSubPr>
                  <m:ctrlPr>
                    <w:rPr>
                      <w:rFonts w:ascii="Cambria Math" w:hAnsi="Cambria Math"/>
                    </w:rPr>
                  </m:ctrlPr>
                </m:sSubPr>
                <m:e>
                  <m:r>
                    <w:rPr>
                      <w:rFonts w:ascii="Cambria Math" w:hAnsi="Cambria Math"/>
                    </w:rPr>
                    <m:t>P</m:t>
                  </m:r>
                </m:e>
                <m:sub>
                  <m:r>
                    <w:rPr>
                      <w:rFonts w:ascii="Cambria Math" w:hAnsi="Cambria Math"/>
                    </w:rPr>
                    <m:t>it</m:t>
                  </m:r>
                </m:sub>
              </m:sSub>
            </m:lim>
          </m:limLow>
          <m:nary>
            <m:naryPr>
              <m:chr m:val="∑"/>
              <m:limLoc m:val="undOvr"/>
              <m:subHide m:val="1"/>
              <m:ctrlPr>
                <w:rPr>
                  <w:rFonts w:ascii="Cambria Math" w:hAnsi="Cambria Math"/>
                </w:rPr>
              </m:ctrlPr>
            </m:naryPr>
            <m:sub/>
            <m:sup>
              <m:r>
                <w:rPr>
                  <w:rFonts w:ascii="Cambria Math" w:hAnsi="Cambria Math"/>
                </w:rPr>
                <m:t>i∈I</m:t>
              </m:r>
            </m:sup>
            <m:e>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sub>
                <m:sup/>
                <m:e>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-1</m:t>
                      </m:r>
                    </m:sup>
                  </m:sSubSup>
                </m:e>
              </m:nary>
            </m:e>
          </m:nary>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oMath>
      </m:oMathPara>
    </w:p>
    <w:p w14:paraId="2952E23E" w14:textId="77777777" w:rsidR="00532986" w:rsidRDefault="00532986" w:rsidP="00532986"/>
    <w:p w14:paraId="6BBE25B5" w14:textId="77777777" w:rsidR="00532986" w:rsidRDefault="00532986" w:rsidP="00532986">
      <w:r>
        <w:t>subject to:</w:t>
      </w:r>
    </w:p>
    <w:p w14:paraId="78B99201" w14:textId="77777777" w:rsidR="00532986" w:rsidRDefault="00220589" w:rsidP="00532986">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ijt</m:t>
              </m:r>
            </m:sub>
          </m:sSub>
          <m:r>
            <w:rPr>
              <w:rFonts w:ascii="Cambria Math" w:hAnsi="Cambria Math"/>
            </w:rPr>
            <m:t>=</m:t>
          </m:r>
          <m:sSup>
            <m:sSupPr>
              <m:ctrlPr>
                <w:rPr>
                  <w:rFonts w:ascii="Cambria Math" w:hAnsi="Cambria Math"/>
                </w:rPr>
              </m:ctrlPr>
            </m:sSupPr>
            <m:e>
              <m:r>
                <w:rPr>
                  <w:rFonts w:ascii="Cambria Math" w:hAnsi="Cambria Math"/>
                </w:rPr>
                <m:t>d</m:t>
              </m:r>
            </m:e>
            <m:sup>
              <m:r>
                <w:rPr>
                  <w:rFonts w:ascii="Cambria Math" w:hAnsi="Cambria Math"/>
                </w:rPr>
                <m:t>W</m:t>
              </m:r>
            </m:sup>
          </m:sSup>
          <m:r>
            <w:rPr>
              <w:rFonts w:ascii="Cambria Math" w:hAnsi="Cambria Math"/>
            </w:rPr>
            <m:t>(.)</m:t>
          </m:r>
        </m:oMath>
      </m:oMathPara>
    </w:p>
    <w:p w14:paraId="022316F2" w14:textId="77777777" w:rsidR="00532986" w:rsidRDefault="00220589" w:rsidP="00532986">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it</m:t>
              </m:r>
            </m:sub>
          </m:sSub>
          <m:r>
            <w:rPr>
              <w:rFonts w:ascii="Cambria Math" w:hAnsi="Cambria Math"/>
            </w:rPr>
            <m:t>=</m:t>
          </m:r>
          <m:nary>
            <m:naryPr>
              <m:chr m:val="∑"/>
              <m:limLoc m:val="undOvr"/>
              <m:subHide m:val="1"/>
              <m:ctrlPr>
                <w:rPr>
                  <w:rFonts w:ascii="Cambria Math" w:hAnsi="Cambria Math"/>
                </w:rPr>
              </m:ctrlPr>
            </m:naryPr>
            <m:sub/>
            <m:sup>
              <m:r>
                <w:rPr>
                  <w:rFonts w:ascii="Cambria Math" w:hAnsi="Cambria Math"/>
                </w:rPr>
                <m:t>j ∈ J</m:t>
              </m:r>
            </m:sup>
            <m:e>
              <m:sSub>
                <m:sSubPr>
                  <m:ctrlPr>
                    <w:rPr>
                      <w:rFonts w:ascii="Cambria Math" w:hAnsi="Cambria Math"/>
                    </w:rPr>
                  </m:ctrlPr>
                </m:sSubPr>
                <m:e>
                  <m:r>
                    <w:rPr>
                      <w:rFonts w:ascii="Cambria Math" w:hAnsi="Cambria Math"/>
                    </w:rPr>
                    <m:t>W</m:t>
                  </m:r>
                </m:e>
                <m:sub>
                  <m:r>
                    <w:rPr>
                      <w:rFonts w:ascii="Cambria Math" w:hAnsi="Cambria Math"/>
                    </w:rPr>
                    <m:t>ijt</m:t>
                  </m:r>
                </m:sub>
              </m:sSub>
            </m:e>
          </m:nary>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it</m:t>
              </m:r>
            </m:sub>
          </m:sSub>
        </m:oMath>
      </m:oMathPara>
    </w:p>
    <w:p w14:paraId="1733E8A8" w14:textId="77777777" w:rsidR="00532986" w:rsidRDefault="00220589" w:rsidP="00532986">
      <m:oMathPara>
        <m:oMathParaPr>
          <m:jc m:val="center"/>
        </m:oMathParaPr>
        <m:oMath>
          <m:nary>
            <m:naryPr>
              <m:chr m:val="∑"/>
              <m:limLoc m:val="undOvr"/>
              <m:subHide m:val="1"/>
              <m:ctrlPr>
                <w:rPr>
                  <w:rFonts w:ascii="Cambria Math" w:hAnsi="Cambria Math"/>
                </w:rPr>
              </m:ctrlPr>
            </m:naryPr>
            <m:sub/>
            <m:sup>
              <m:r>
                <w:rPr>
                  <w:rFonts w:ascii="Cambria Math" w:hAnsi="Cambria Math"/>
                </w:rPr>
                <m:t>i∈ I</m:t>
              </m:r>
            </m:sup>
            <m:e>
              <m:sSub>
                <m:sSubPr>
                  <m:ctrlPr>
                    <w:rPr>
                      <w:rFonts w:ascii="Cambria Math" w:hAnsi="Cambria Math"/>
                    </w:rPr>
                  </m:ctrlPr>
                </m:sSubPr>
                <m:e>
                  <m:r>
                    <w:rPr>
                      <w:rFonts w:ascii="Cambria Math" w:hAnsi="Cambria Math"/>
                    </w:rPr>
                    <m:t>Δ</m:t>
                  </m:r>
                </m:e>
                <m:sub>
                  <m:r>
                    <w:rPr>
                      <w:rFonts w:ascii="Cambria Math" w:hAnsi="Cambria Math"/>
                    </w:rPr>
                    <m:t>it</m:t>
                  </m:r>
                </m:sub>
              </m:sSub>
            </m:e>
          </m:nary>
          <m:r>
            <w:rPr>
              <w:rFonts w:ascii="Cambria Math" w:hAnsi="Cambria Math"/>
            </w:rPr>
            <m:t>=0</m:t>
          </m:r>
        </m:oMath>
      </m:oMathPara>
    </w:p>
    <w:p w14:paraId="3D7124FD" w14:textId="77777777" w:rsidR="00532986" w:rsidRDefault="00220589" w:rsidP="00532986">
      <m:oMathPara>
        <m:oMathParaPr>
          <m:jc m:val="center"/>
        </m:oMathParaPr>
        <m:oMath>
          <m:sSub>
            <m:sSubPr>
              <m:ctrlPr>
                <w:rPr>
                  <w:rFonts w:ascii="Cambria Math" w:hAnsi="Cambria Math"/>
                </w:rPr>
              </m:ctrlPr>
            </m:sSubPr>
            <m:e>
              <m:limLow>
                <m:limLowPr>
                  <m:ctrlPr>
                    <w:rPr>
                      <w:rFonts w:ascii="Cambria Math" w:hAnsi="Cambria Math"/>
                    </w:rPr>
                  </m:ctrlPr>
                </m:limLowPr>
                <m:e>
                  <m:r>
                    <w:rPr>
                      <w:rFonts w:ascii="Cambria Math" w:hAnsi="Cambria Math"/>
                    </w:rPr>
                    <m:t>Δ</m:t>
                  </m:r>
                </m:e>
                <m:lim>
                  <m:r>
                    <w:rPr>
                      <w:rFonts w:ascii="Cambria Math" w:hAnsi="Cambria Math"/>
                    </w:rPr>
                    <m:t>̲</m:t>
                  </m:r>
                </m:lim>
              </m:limLow>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kt</m:t>
              </m:r>
            </m:sub>
          </m:sSub>
        </m:oMath>
      </m:oMathPara>
    </w:p>
    <w:p w14:paraId="38A4D1FB" w14:textId="7BDE9B2C" w:rsidR="00532986" w:rsidRDefault="00DF2364" w:rsidP="00DF2364">
      <w:r>
        <w:t>In equilibrium</w:t>
      </w:r>
      <w:r w:rsidR="00532986">
        <w:t xml:space="preserve"> </w:t>
      </w:r>
      <w:r>
        <w:t xml:space="preserve">we know that </w:t>
      </w:r>
      <w:r w:rsidR="00532986">
        <w:t xml:space="preserve">for regions within a trading zone </w:t>
      </w:r>
      <w:r>
        <w:t xml:space="preserve">prices </w:t>
      </w:r>
      <w:r w:rsidR="00532986">
        <w:t>must be equal:</w:t>
      </w:r>
    </w:p>
    <w:p w14:paraId="26185C62" w14:textId="77777777" w:rsidR="00532986" w:rsidRDefault="00220589" w:rsidP="00532986">
      <w:pPr>
        <w:pStyle w:val="BodyText"/>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oMath>
      </m:oMathPara>
    </w:p>
    <w:p w14:paraId="0F9CD90C" w14:textId="77777777" w:rsidR="00532986" w:rsidRDefault="00532986" w:rsidP="00532986">
      <w:r>
        <w:t xml:space="preserve">for all </w:t>
      </w:r>
      <m:oMath>
        <m:r>
          <w:rPr>
            <w:rFonts w:ascii="Cambria Math" w:hAnsi="Cambria Math"/>
          </w:rPr>
          <m:t>i</m:t>
        </m:r>
      </m:oMath>
      <w:r>
        <w:t xml:space="preserve"> in </w:t>
      </w:r>
      <m:oMath>
        <m:sSub>
          <m:sSubPr>
            <m:ctrlPr>
              <w:rPr>
                <w:rFonts w:ascii="Cambria Math" w:hAnsi="Cambria Math"/>
              </w:rPr>
            </m:ctrlPr>
          </m:sSubPr>
          <m:e>
            <m:r>
              <w:rPr>
                <w:rFonts w:ascii="Cambria Math" w:hAnsi="Cambria Math"/>
              </w:rPr>
              <m:t>I</m:t>
            </m:r>
          </m:e>
          <m:sub>
            <m:r>
              <w:rPr>
                <w:rFonts w:ascii="Cambria Math" w:hAnsi="Cambria Math"/>
              </w:rPr>
              <m:t>k</m:t>
            </m:r>
          </m:sub>
        </m:sSub>
      </m:oMath>
      <w:r>
        <w:t>.</w:t>
      </w:r>
    </w:p>
    <w:p w14:paraId="0F3F52BE" w14:textId="77777777" w:rsidR="00532986" w:rsidRDefault="00532986" w:rsidP="00532986">
      <w:pPr>
        <w:pStyle w:val="BodyText"/>
      </w:pPr>
      <w:r>
        <w:t xml:space="preserve">Secondly, we know that prices between trading zones must be equal if trade constraints are non-binding. We define the unrestricted market price </w:t>
      </w:r>
      <m:oMath>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oMath>
      <w:r>
        <w:t xml:space="preserve"> as the price applying in all regions where trade limits are non-binding. Further, we know (by assumption) that there is always at least one trading zone (i.e., Murray below Barmah) where net trade is unrestricted.</w:t>
      </w:r>
    </w:p>
    <w:p w14:paraId="0B55EB0A" w14:textId="77777777" w:rsidR="00532986" w:rsidRDefault="00532986" w:rsidP="00532986">
      <w:pPr>
        <w:pStyle w:val="BodyText"/>
      </w:pPr>
      <w:r>
        <w:t xml:space="preserve">Next note that for any </w:t>
      </w:r>
      <m:oMath>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oMath>
      <w:r>
        <w:t xml:space="preserve"> we can compute net trade </w:t>
      </w:r>
      <m:oMath>
        <m:sSub>
          <m:sSubPr>
            <m:ctrlPr>
              <w:rPr>
                <w:rFonts w:ascii="Cambria Math" w:hAnsi="Cambria Math"/>
              </w:rPr>
            </m:ctrlPr>
          </m:sSubPr>
          <m:e>
            <m:r>
              <w:rPr>
                <w:rFonts w:ascii="Cambria Math" w:hAnsi="Cambria Math"/>
              </w:rPr>
              <m:t>Δ</m:t>
            </m:r>
          </m:e>
          <m:sub>
            <m:r>
              <w:rPr>
                <w:rFonts w:ascii="Cambria Math" w:hAnsi="Cambria Math"/>
              </w:rPr>
              <m:t>kt</m:t>
            </m:r>
          </m:sub>
        </m:sSub>
      </m:oMath>
      <w:r>
        <w:t xml:space="preserve"> for each trading zone</w:t>
      </w:r>
      <w:r w:rsidR="00DF2364">
        <w:t xml:space="preserve"> in the model</w:t>
      </w:r>
      <w:r>
        <w:t>:</w:t>
      </w:r>
    </w:p>
    <w:p w14:paraId="7A2691F5" w14:textId="77777777" w:rsidR="00532986" w:rsidRDefault="00220589" w:rsidP="00532986">
      <w:pPr>
        <w:pStyle w:val="BodyText"/>
      </w:pPr>
      <m:oMathPara>
        <m:oMathParaPr>
          <m:jc m:val="center"/>
        </m:oMathParaPr>
        <m:oMath>
          <m:sSubSup>
            <m:sSubSupPr>
              <m:ctrlPr>
                <w:rPr>
                  <w:rFonts w:ascii="Cambria Math" w:hAnsi="Cambria Math"/>
                </w:rPr>
              </m:ctrlPr>
            </m:sSubSupPr>
            <m:e>
              <m:r>
                <w:rPr>
                  <w:rFonts w:ascii="Cambria Math" w:hAnsi="Cambria Math"/>
                </w:rPr>
                <m:t>Δ</m:t>
              </m:r>
            </m:e>
            <m:sub>
              <m:r>
                <w:rPr>
                  <w:rFonts w:ascii="Cambria Math" w:hAnsi="Cambria Math"/>
                </w:rPr>
                <m:t>it</m:t>
              </m:r>
            </m:sub>
            <m:sup>
              <m:r>
                <w:rPr>
                  <w:rFonts w:ascii="Cambria Math" w:hAnsi="Cambria Math"/>
                </w:rPr>
                <m:t>u</m:t>
              </m:r>
            </m:sup>
          </m:sSubSup>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it</m:t>
              </m:r>
            </m:sub>
          </m:sSub>
        </m:oMath>
      </m:oMathPara>
    </w:p>
    <w:p w14:paraId="34BA4E1A" w14:textId="77777777" w:rsidR="00532986" w:rsidRDefault="00220589" w:rsidP="00532986">
      <m:oMathPara>
        <m:oMathParaPr>
          <m:jc m:val="center"/>
        </m:oMathParaPr>
        <m:oMath>
          <m:sSubSup>
            <m:sSubSupPr>
              <m:ctrlPr>
                <w:rPr>
                  <w:rFonts w:ascii="Cambria Math" w:hAnsi="Cambria Math"/>
                </w:rPr>
              </m:ctrlPr>
            </m:sSubSupPr>
            <m:e>
              <m:r>
                <w:rPr>
                  <w:rFonts w:ascii="Cambria Math" w:hAnsi="Cambria Math"/>
                </w:rPr>
                <m:t>Δ</m:t>
              </m:r>
            </m:e>
            <m:sub>
              <m:r>
                <w:rPr>
                  <w:rFonts w:ascii="Cambria Math" w:hAnsi="Cambria Math"/>
                </w:rPr>
                <m:t>kt</m:t>
              </m:r>
            </m:sub>
            <m:sup>
              <m:r>
                <w:rPr>
                  <w:rFonts w:ascii="Cambria Math" w:hAnsi="Cambria Math"/>
                </w:rPr>
                <m:t>u</m:t>
              </m:r>
            </m:sup>
          </m:sSubSup>
          <m:r>
            <w:rPr>
              <w:rFonts w:ascii="Cambria Math" w:hAnsi="Cambria Math"/>
            </w:rPr>
            <m:t>=</m:t>
          </m:r>
          <m:nary>
            <m:naryPr>
              <m:chr m:val="∑"/>
              <m:limLoc m:val="undOvr"/>
              <m:subHide m:val="1"/>
              <m:ctrlPr>
                <w:rPr>
                  <w:rFonts w:ascii="Cambria Math" w:hAnsi="Cambria Math"/>
                </w:rPr>
              </m:ctrlPr>
            </m:naryPr>
            <m:sub/>
            <m:sup>
              <m:r>
                <w:rPr>
                  <w:rFonts w:ascii="Cambria Math" w:hAnsi="Cambria Math"/>
                </w:rPr>
                <m:t>i∈</m:t>
              </m:r>
              <m:sSub>
                <m:sSubPr>
                  <m:ctrlPr>
                    <w:rPr>
                      <w:rFonts w:ascii="Cambria Math" w:hAnsi="Cambria Math"/>
                    </w:rPr>
                  </m:ctrlPr>
                </m:sSubPr>
                <m:e>
                  <m:r>
                    <w:rPr>
                      <w:rFonts w:ascii="Cambria Math" w:hAnsi="Cambria Math"/>
                    </w:rPr>
                    <m:t>I</m:t>
                  </m:r>
                </m:e>
                <m:sub>
                  <m:r>
                    <w:rPr>
                      <w:rFonts w:ascii="Cambria Math" w:hAnsi="Cambria Math"/>
                    </w:rPr>
                    <m:t>k</m:t>
                  </m:r>
                </m:sub>
              </m:sSub>
            </m:sup>
            <m:e>
              <m:sSubSup>
                <m:sSubSupPr>
                  <m:ctrlPr>
                    <w:rPr>
                      <w:rFonts w:ascii="Cambria Math" w:hAnsi="Cambria Math"/>
                    </w:rPr>
                  </m:ctrlPr>
                </m:sSubSupPr>
                <m:e>
                  <m:r>
                    <w:rPr>
                      <w:rFonts w:ascii="Cambria Math" w:hAnsi="Cambria Math"/>
                    </w:rPr>
                    <m:t>Δ</m:t>
                  </m:r>
                </m:e>
                <m:sub>
                  <m:r>
                    <w:rPr>
                      <w:rFonts w:ascii="Cambria Math" w:hAnsi="Cambria Math"/>
                    </w:rPr>
                    <m:t>it</m:t>
                  </m:r>
                </m:sub>
                <m:sup>
                  <m:r>
                    <w:rPr>
                      <w:rFonts w:ascii="Cambria Math" w:hAnsi="Cambria Math"/>
                    </w:rPr>
                    <m:t>u</m:t>
                  </m:r>
                </m:sup>
              </m:sSubSup>
            </m:e>
          </m:nary>
        </m:oMath>
      </m:oMathPara>
    </w:p>
    <w:p w14:paraId="6A531D13" w14:textId="77777777" w:rsidR="00532986" w:rsidRDefault="00220589" w:rsidP="00532986">
      <m:oMathPara>
        <m:oMathParaPr>
          <m:jc m:val="center"/>
        </m:oMathParaPr>
        <m:oMath>
          <m:sSub>
            <m:sSubPr>
              <m:ctrlPr>
                <w:rPr>
                  <w:rFonts w:ascii="Cambria Math" w:hAnsi="Cambria Math"/>
                </w:rPr>
              </m:ctrlPr>
            </m:sSubPr>
            <m:e>
              <m:r>
                <w:rPr>
                  <w:rFonts w:ascii="Cambria Math" w:hAnsi="Cambria Math"/>
                </w:rPr>
                <m:t>Δ</m:t>
              </m:r>
            </m:e>
            <m:sub>
              <m:r>
                <w:rPr>
                  <w:rFonts w:ascii="Cambria Math" w:hAnsi="Cambria Math"/>
                </w:rPr>
                <m:t>kt</m:t>
              </m:r>
            </m:sub>
          </m:sSub>
          <m:r>
            <w:rPr>
              <w:rFonts w:ascii="Cambria Math" w:hAnsi="Cambria Math"/>
            </w:rPr>
            <m:t>=</m:t>
          </m:r>
          <m:r>
            <m:rPr>
              <m:sty m:val="p"/>
            </m:rPr>
            <w:rPr>
              <w:rFonts w:ascii="Cambria Math" w:hAnsi="Cambria Math"/>
            </w:rPr>
            <m:t>min</m:t>
          </m:r>
          <m:r>
            <w:rPr>
              <w:rFonts w:ascii="Cambria Math" w:hAnsi="Cambria Math"/>
            </w:rPr>
            <m:t>{</m:t>
          </m:r>
          <m:r>
            <m:rPr>
              <m:sty m:val="p"/>
            </m:rPr>
            <w:rPr>
              <w:rFonts w:ascii="Cambria Math" w:hAnsi="Cambria Math"/>
            </w:rPr>
            <m:t>max</m:t>
          </m:r>
          <m: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kt</m:t>
              </m:r>
            </m:sub>
            <m:sup>
              <m:r>
                <w:rPr>
                  <w:rFonts w:ascii="Cambria Math" w:hAnsi="Cambria Math"/>
                </w:rPr>
                <m:t>u</m:t>
              </m:r>
            </m:sup>
          </m:sSubSup>
          <m:r>
            <w:rPr>
              <w:rFonts w:ascii="Cambria Math" w:hAnsi="Cambria Math"/>
            </w:rPr>
            <m:t>,</m:t>
          </m:r>
          <m:sSub>
            <m:sSubPr>
              <m:ctrlPr>
                <w:rPr>
                  <w:rFonts w:ascii="Cambria Math" w:hAnsi="Cambria Math"/>
                </w:rPr>
              </m:ctrlPr>
            </m:sSubPr>
            <m:e>
              <m:limLow>
                <m:limLowPr>
                  <m:ctrlPr>
                    <w:rPr>
                      <w:rFonts w:ascii="Cambria Math" w:hAnsi="Cambria Math"/>
                    </w:rPr>
                  </m:ctrlPr>
                </m:limLowPr>
                <m:e>
                  <m:r>
                    <w:rPr>
                      <w:rFonts w:ascii="Cambria Math" w:hAnsi="Cambria Math"/>
                    </w:rPr>
                    <m:t>Δ</m:t>
                  </m:r>
                </m:e>
                <m:lim>
                  <m:r>
                    <w:rPr>
                      <w:rFonts w:ascii="Cambria Math" w:hAnsi="Cambria Math"/>
                    </w:rPr>
                    <m:t>̲</m:t>
                  </m:r>
                </m:lim>
              </m:limLow>
            </m:e>
            <m:sub>
              <m:r>
                <w:rPr>
                  <w:rFonts w:ascii="Cambria Math" w:hAnsi="Cambria Math"/>
                </w:rPr>
                <m:t>it</m:t>
              </m:r>
            </m:sub>
          </m:sSub>
          <m:r>
            <w:rPr>
              <w:rFonts w:ascii="Cambria Math" w:hAnsi="Cambria Math"/>
            </w:rPr>
            <m:t>},</m:t>
          </m:r>
          <m:sSub>
            <m:sSubPr>
              <m:ctrlPr>
                <w:rPr>
                  <w:rFonts w:ascii="Cambria Math" w:hAnsi="Cambria Math"/>
                </w:rPr>
              </m:ctrlPr>
            </m:sSubPr>
            <m:e>
              <m:bar>
                <m:barPr>
                  <m:pos m:val="top"/>
                  <m:ctrlPr>
                    <w:rPr>
                      <w:rFonts w:ascii="Cambria Math" w:hAnsi="Cambria Math"/>
                    </w:rPr>
                  </m:ctrlPr>
                </m:barPr>
                <m:e>
                  <m:r>
                    <w:rPr>
                      <w:rFonts w:ascii="Cambria Math" w:hAnsi="Cambria Math"/>
                    </w:rPr>
                    <m:t>Δ</m:t>
                  </m:r>
                </m:e>
              </m:bar>
            </m:e>
            <m:sub>
              <m:r>
                <w:rPr>
                  <w:rFonts w:ascii="Cambria Math" w:hAnsi="Cambria Math"/>
                </w:rPr>
                <m:t>kt</m:t>
              </m:r>
            </m:sub>
          </m:sSub>
          <m:r>
            <w:rPr>
              <w:rFonts w:ascii="Cambria Math" w:hAnsi="Cambria Math"/>
            </w:rPr>
            <m:t>}</m:t>
          </m:r>
        </m:oMath>
      </m:oMathPara>
    </w:p>
    <w:p w14:paraId="118F55BF" w14:textId="77777777" w:rsidR="00532986" w:rsidRDefault="00532986" w:rsidP="00532986">
      <w:r>
        <w:t xml:space="preserve">A solution to the model is then given by the </w:t>
      </w:r>
      <m:oMath>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oMath>
      <w:r>
        <w:t xml:space="preserve"> which clears the market, such that</w:t>
      </w:r>
    </w:p>
    <w:p w14:paraId="42D92CD2" w14:textId="77777777" w:rsidR="00532986" w:rsidRDefault="00220589" w:rsidP="00532986">
      <w:pPr>
        <w:pStyle w:val="BodyText"/>
      </w:pPr>
      <m:oMathPara>
        <m:oMathParaPr>
          <m:jc m:val="center"/>
        </m:oMathParaPr>
        <m:oMath>
          <m:nary>
            <m:naryPr>
              <m:chr m:val="∑"/>
              <m:limLoc m:val="undOvr"/>
              <m:subHide m:val="1"/>
              <m:ctrlPr>
                <w:rPr>
                  <w:rFonts w:ascii="Cambria Math" w:hAnsi="Cambria Math"/>
                </w:rPr>
              </m:ctrlPr>
            </m:naryPr>
            <m:sub/>
            <m:sup>
              <m:r>
                <w:rPr>
                  <w:rFonts w:ascii="Cambria Math" w:hAnsi="Cambria Math"/>
                </w:rPr>
                <m:t>k∈K</m:t>
              </m:r>
            </m:sup>
            <m:e>
              <m:sSub>
                <m:sSubPr>
                  <m:ctrlPr>
                    <w:rPr>
                      <w:rFonts w:ascii="Cambria Math" w:hAnsi="Cambria Math"/>
                    </w:rPr>
                  </m:ctrlPr>
                </m:sSubPr>
                <m:e>
                  <m:r>
                    <w:rPr>
                      <w:rFonts w:ascii="Cambria Math" w:hAnsi="Cambria Math"/>
                    </w:rPr>
                    <m:t>Δ</m:t>
                  </m:r>
                </m:e>
                <m:sub>
                  <m:r>
                    <w:rPr>
                      <w:rFonts w:ascii="Cambria Math" w:hAnsi="Cambria Math"/>
                    </w:rPr>
                    <m:t>kt</m:t>
                  </m:r>
                </m:sub>
              </m:sSub>
            </m:e>
          </m:nary>
          <m:r>
            <w:rPr>
              <w:rFonts w:ascii="Cambria Math" w:hAnsi="Cambria Math"/>
            </w:rPr>
            <m:t>=0</m:t>
          </m:r>
        </m:oMath>
      </m:oMathPara>
    </w:p>
    <w:p w14:paraId="2099431E" w14:textId="77777777" w:rsidR="00532986" w:rsidRDefault="00DF2364" w:rsidP="00532986">
      <w:r>
        <w:t>Given</w:t>
      </w:r>
      <w:r w:rsidR="00532986">
        <w:t xml:space="preserve"> the above conditions, </w:t>
      </w:r>
      <m:oMath>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oMath>
      <w:r w:rsidR="00532986">
        <w:t xml:space="preserve"> </w:t>
      </w:r>
      <w:r>
        <w:t>is obtained</w:t>
      </w:r>
      <w:r w:rsidR="00532986">
        <w:t xml:space="preserve"> numerically </w:t>
      </w:r>
      <w:r>
        <w:t xml:space="preserve">in the model </w:t>
      </w:r>
      <w:r w:rsidR="00532986">
        <w:t>with a route finding algorithm.</w:t>
      </w:r>
    </w:p>
    <w:p w14:paraId="32B08CAC" w14:textId="77777777" w:rsidR="00532986" w:rsidRDefault="00532986" w:rsidP="00532986">
      <w:pPr>
        <w:pStyle w:val="BodyText"/>
      </w:pPr>
      <w:r>
        <w:t xml:space="preserve">Once </w:t>
      </w:r>
      <m:oMath>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oMath>
      <w:r>
        <w:t xml:space="preserve"> is obtained, prices for all other trading zones and regions can be determined. All unrestricted zones take </w:t>
      </w:r>
      <m:oMath>
        <m:sSubSup>
          <m:sSubSupPr>
            <m:ctrlPr>
              <w:rPr>
                <w:rFonts w:ascii="Cambria Math" w:hAnsi="Cambria Math"/>
              </w:rPr>
            </m:ctrlPr>
          </m:sSubSupPr>
          <m:e>
            <m:r>
              <w:rPr>
                <w:rFonts w:ascii="Cambria Math" w:hAnsi="Cambria Math"/>
              </w:rPr>
              <m:t>P</m:t>
            </m:r>
          </m:e>
          <m:sub>
            <m:r>
              <w:rPr>
                <w:rFonts w:ascii="Cambria Math" w:hAnsi="Cambria Math"/>
              </w:rPr>
              <m:t>kt</m:t>
            </m:r>
          </m:sub>
          <m:sup>
            <m:r>
              <w:rPr>
                <w:rFonts w:ascii="Cambria Math" w:hAnsi="Cambria Math"/>
              </w:rPr>
              <m:t>u</m:t>
            </m:r>
          </m:sup>
        </m:sSubSup>
      </m:oMath>
    </w:p>
    <w:p w14:paraId="3A1173DB" w14:textId="77777777" w:rsidR="00532986" w:rsidRDefault="00220589" w:rsidP="00DF2364">
      <w:pPr>
        <w:pStyle w:val="BodyText"/>
        <w:jc w:val="center"/>
      </w:pPr>
      <m:oMath>
        <m:sSub>
          <m:sSubPr>
            <m:ctrlPr>
              <w:rPr>
                <w:rFonts w:ascii="Cambria Math" w:hAnsi="Cambria Math"/>
              </w:rPr>
            </m:ctrlPr>
          </m:sSubPr>
          <m:e>
            <m:r>
              <w:rPr>
                <w:rFonts w:ascii="Cambria Math" w:hAnsi="Cambria Math"/>
              </w:rPr>
              <m:t>P</m:t>
            </m:r>
          </m:e>
          <m:sub>
            <m:r>
              <w:rPr>
                <w:rFonts w:ascii="Cambria Math" w:hAnsi="Cambria Math"/>
              </w:rPr>
              <m:t>kt</m:t>
            </m:r>
          </m:sub>
        </m:sSub>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u</m:t>
            </m:r>
          </m:sup>
        </m:sSubSup>
      </m:oMath>
      <w:r w:rsidR="00532986">
        <w:t xml:space="preserve"> for </w:t>
      </w:r>
      <m:oMath>
        <m:r>
          <w:rPr>
            <w:rFonts w:ascii="Cambria Math" w:hAnsi="Cambria Math"/>
          </w:rPr>
          <m:t>k</m:t>
        </m:r>
      </m:oMath>
      <w:r w:rsidR="00532986">
        <w:t xml:space="preserve"> where </w:t>
      </w:r>
      <m:oMath>
        <m:sSub>
          <m:sSubPr>
            <m:ctrlPr>
              <w:rPr>
                <w:rFonts w:ascii="Cambria Math" w:hAnsi="Cambria Math"/>
              </w:rPr>
            </m:ctrlPr>
          </m:sSubPr>
          <m:e>
            <m:limLow>
              <m:limLowPr>
                <m:ctrlPr>
                  <w:rPr>
                    <w:rFonts w:ascii="Cambria Math" w:hAnsi="Cambria Math"/>
                  </w:rPr>
                </m:ctrlPr>
              </m:limLowPr>
              <m:e>
                <m:r>
                  <w:rPr>
                    <w:rFonts w:ascii="Cambria Math" w:hAnsi="Cambria Math"/>
                  </w:rPr>
                  <m:t>Δ</m:t>
                </m:r>
              </m:e>
              <m:lim>
                <m:r>
                  <w:rPr>
                    <w:rFonts w:ascii="Cambria Math" w:hAnsi="Cambria Math"/>
                  </w:rPr>
                  <m:t>̲</m:t>
                </m:r>
              </m:lim>
            </m:limLow>
          </m:e>
          <m:sub>
            <m:r>
              <w:rPr>
                <w:rFonts w:ascii="Cambria Math" w:hAnsi="Cambria Math"/>
              </w:rPr>
              <m:t>kt</m:t>
            </m:r>
          </m:sub>
        </m:sSub>
        <m:r>
          <w:rPr>
            <w:rFonts w:ascii="Cambria Math" w:hAnsi="Cambria Math"/>
          </w:rPr>
          <m:t>&lt;</m:t>
        </m:r>
        <m:sSub>
          <m:sSubPr>
            <m:ctrlPr>
              <w:rPr>
                <w:rFonts w:ascii="Cambria Math" w:hAnsi="Cambria Math"/>
              </w:rPr>
            </m:ctrlPr>
          </m:sSubPr>
          <m:e>
            <m:r>
              <w:rPr>
                <w:rFonts w:ascii="Cambria Math" w:hAnsi="Cambria Math"/>
              </w:rPr>
              <m:t>Δ</m:t>
            </m:r>
          </m:e>
          <m:sub>
            <m:r>
              <w:rPr>
                <w:rFonts w:ascii="Cambria Math" w:hAnsi="Cambria Math"/>
              </w:rPr>
              <m:t>kt</m:t>
            </m:r>
          </m:sub>
        </m:sSub>
        <m:r>
          <w:rPr>
            <w:rFonts w:ascii="Cambria Math" w:hAnsi="Cambria Math"/>
          </w:rPr>
          <m:t>&lt;</m:t>
        </m:r>
        <m:sSub>
          <m:sSubPr>
            <m:ctrlPr>
              <w:rPr>
                <w:rFonts w:ascii="Cambria Math" w:hAnsi="Cambria Math"/>
              </w:rPr>
            </m:ctrlPr>
          </m:sSubPr>
          <m:e>
            <m:bar>
              <m:barPr>
                <m:pos m:val="top"/>
                <m:ctrlPr>
                  <w:rPr>
                    <w:rFonts w:ascii="Cambria Math" w:hAnsi="Cambria Math"/>
                  </w:rPr>
                </m:ctrlPr>
              </m:barPr>
              <m:e>
                <m:r>
                  <w:rPr>
                    <w:rFonts w:ascii="Cambria Math" w:hAnsi="Cambria Math"/>
                  </w:rPr>
                  <m:t>Δ</m:t>
                </m:r>
              </m:e>
            </m:bar>
          </m:e>
          <m:sub>
            <m:r>
              <w:rPr>
                <w:rFonts w:ascii="Cambria Math" w:hAnsi="Cambria Math"/>
              </w:rPr>
              <m:t>kt</m:t>
            </m:r>
          </m:sub>
        </m:sSub>
      </m:oMath>
    </w:p>
    <w:p w14:paraId="4A967C70" w14:textId="77777777" w:rsidR="00532986" w:rsidRDefault="00532986" w:rsidP="00532986">
      <w:pPr>
        <w:pStyle w:val="BodyText"/>
      </w:pPr>
      <w:r>
        <w:t>For restricted trading zones prices can be computed as:</w:t>
      </w:r>
    </w:p>
    <w:p w14:paraId="0A30B367" w14:textId="77777777" w:rsidR="00532986" w:rsidRDefault="00220589" w:rsidP="00532986">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kt</m:t>
              </m:r>
            </m:sub>
          </m:sSub>
        </m:oMath>
      </m:oMathPara>
    </w:p>
    <w:p w14:paraId="095F1A50" w14:textId="77777777" w:rsidR="00532986" w:rsidRPr="00DF2364" w:rsidRDefault="00220589" w:rsidP="00532986">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kt</m:t>
              </m:r>
            </m:sub>
          </m:sSub>
          <m: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k</m:t>
              </m:r>
            </m:sub>
            <m:sup>
              <m:r>
                <w:rPr>
                  <w:rFonts w:ascii="Cambria Math" w:hAnsi="Cambria Math"/>
                </w:rPr>
                <m:t>-1</m:t>
              </m:r>
            </m:sup>
          </m:sSubSup>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kt</m:t>
              </m:r>
            </m:sub>
          </m:sSub>
          <m:r>
            <w:rPr>
              <w:rFonts w:ascii="Cambria Math" w:hAnsi="Cambria Math"/>
            </w:rPr>
            <m:t>,...)</m:t>
          </m:r>
        </m:oMath>
      </m:oMathPara>
    </w:p>
    <w:p w14:paraId="208122C4" w14:textId="77777777" w:rsidR="00532986" w:rsidRDefault="00DF2364" w:rsidP="00532986">
      <w:pPr>
        <w:pStyle w:val="BodyText"/>
      </w:pPr>
      <w:r>
        <w:t>where</w:t>
      </w:r>
      <w:r w:rsidR="00532986">
        <w:t xml:space="preserve"> </w:t>
      </w:r>
      <m:oMath>
        <m:sSub>
          <m:sSubPr>
            <m:ctrlPr>
              <w:rPr>
                <w:rFonts w:ascii="Cambria Math" w:hAnsi="Cambria Math"/>
              </w:rPr>
            </m:ctrlPr>
          </m:sSubPr>
          <m:e>
            <m:r>
              <w:rPr>
                <w:rFonts w:ascii="Cambria Math" w:hAnsi="Cambria Math"/>
              </w:rPr>
              <m:t>P</m:t>
            </m:r>
          </m:e>
          <m:sub>
            <m:r>
              <w:rPr>
                <w:rFonts w:ascii="Cambria Math" w:hAnsi="Cambria Math"/>
              </w:rPr>
              <m:t>kt</m:t>
            </m:r>
          </m:sub>
        </m:sSub>
      </m:oMath>
      <w:r w:rsidR="00532986">
        <w:t xml:space="preserve"> </w:t>
      </w:r>
      <w:r>
        <w:t>is</w:t>
      </w:r>
      <w:r w:rsidR="00532986">
        <w:t xml:space="preserve"> computed </w:t>
      </w:r>
      <w:r>
        <w:t xml:space="preserve">numerically </w:t>
      </w:r>
      <w:r w:rsidR="00532986">
        <w:t>by solving</w:t>
      </w:r>
      <w:r>
        <w:t xml:space="preserve"> the following with a route finding algorithm</w:t>
      </w:r>
      <w:r w:rsidR="00532986">
        <w:t>:</w:t>
      </w:r>
    </w:p>
    <w:p w14:paraId="151F796B" w14:textId="77777777" w:rsidR="00532986" w:rsidRDefault="00220589" w:rsidP="00532986">
      <w:pPr>
        <w:pStyle w:val="BodyText"/>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kt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kt</m:t>
              </m:r>
            </m:sub>
          </m:sSub>
          <m:r>
            <w:rPr>
              <w:rFonts w:ascii="Cambria Math" w:hAnsi="Cambria Math"/>
            </w:rPr>
            <m:t>,...)</m:t>
          </m:r>
        </m:oMath>
      </m:oMathPara>
    </w:p>
    <w:p w14:paraId="7381CAE5" w14:textId="77777777" w:rsidR="00532986" w:rsidRDefault="00532986" w:rsidP="00786188"/>
    <w:p w14:paraId="5551A8E7" w14:textId="77777777" w:rsidR="00532986" w:rsidRDefault="00532986" w:rsidP="00786188"/>
    <w:p w14:paraId="72FD01BA" w14:textId="77777777" w:rsidR="003A5C9C" w:rsidRPr="00F72EF4" w:rsidRDefault="003A5C9C" w:rsidP="003A5C9C">
      <w:pPr>
        <w:pStyle w:val="BodyText"/>
      </w:pPr>
    </w:p>
    <w:p w14:paraId="6F382564" w14:textId="77777777" w:rsidR="003A5C9C" w:rsidRPr="003A5C9C" w:rsidRDefault="003A5C9C" w:rsidP="003A5C9C"/>
    <w:p w14:paraId="1362D617" w14:textId="51E460AB" w:rsidR="006F3E28" w:rsidRPr="00973B94" w:rsidRDefault="006F3E28" w:rsidP="006F3E28">
      <w:pPr>
        <w:pStyle w:val="BodyText1"/>
      </w:pPr>
    </w:p>
    <w:sectPr w:rsidR="006F3E28" w:rsidRPr="00973B94" w:rsidSect="00FD7BAA">
      <w:pgSz w:w="11906" w:h="16838"/>
      <w:pgMar w:top="1247" w:right="1418" w:bottom="1418" w:left="1418"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61021" w14:textId="77777777" w:rsidR="00106A2D" w:rsidRDefault="00106A2D">
      <w:pPr>
        <w:spacing w:after="0" w:line="240" w:lineRule="auto"/>
      </w:pPr>
      <w:r>
        <w:separator/>
      </w:r>
    </w:p>
  </w:endnote>
  <w:endnote w:type="continuationSeparator" w:id="0">
    <w:p w14:paraId="7E565BBE" w14:textId="77777777" w:rsidR="00106A2D" w:rsidRDefault="00106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27282" w14:textId="77777777" w:rsidR="00106A2D" w:rsidRDefault="00106A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6218E" w14:textId="77777777" w:rsidR="00106A2D" w:rsidRPr="00F709AB" w:rsidRDefault="00106A2D" w:rsidP="00FD7BAA">
    <w:pPr>
      <w:jc w:val="center"/>
      <w:rPr>
        <w:color w:val="FFFFFF" w:themeColor="background1"/>
      </w:rPr>
    </w:pPr>
    <w:r w:rsidRPr="00F709AB">
      <w:rPr>
        <w:color w:val="FFFFFF" w:themeColor="background1"/>
      </w:rPr>
      <w:fldChar w:fldCharType="begin"/>
    </w:r>
    <w:r w:rsidRPr="00F709AB">
      <w:rPr>
        <w:color w:val="FFFFFF" w:themeColor="background1"/>
      </w:rPr>
      <w:instrText xml:space="preserve"> PAGE </w:instrText>
    </w:r>
    <w:r w:rsidRPr="00F709AB">
      <w:rPr>
        <w:color w:val="FFFFFF" w:themeColor="background1"/>
      </w:rPr>
      <w:fldChar w:fldCharType="separate"/>
    </w:r>
    <w:r w:rsidR="00220589">
      <w:rPr>
        <w:noProof/>
        <w:color w:val="FFFFFF" w:themeColor="background1"/>
      </w:rPr>
      <w:t>ii</w:t>
    </w:r>
    <w:r w:rsidRPr="00F709AB">
      <w:rPr>
        <w:noProof/>
        <w:color w:val="FFFFFF" w:themeColor="background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F3E11" w14:textId="77777777" w:rsidR="00106A2D" w:rsidRDefault="00106A2D" w:rsidP="00950BF1">
    <w:pPr>
      <w:jc w:val="center"/>
    </w:pPr>
    <w:r>
      <w:fldChar w:fldCharType="begin"/>
    </w:r>
    <w:r>
      <w:instrText xml:space="preserve"> PAGE </w:instrText>
    </w:r>
    <w:r>
      <w:fldChar w:fldCharType="separate"/>
    </w:r>
    <w:r>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4F35A" w14:textId="77777777" w:rsidR="00106A2D" w:rsidRPr="00F709AB" w:rsidRDefault="00106A2D" w:rsidP="00FD7BAA">
    <w:pPr>
      <w:jc w:val="center"/>
    </w:pPr>
    <w:r w:rsidRPr="00F709AB">
      <w:fldChar w:fldCharType="begin"/>
    </w:r>
    <w:r w:rsidRPr="00F709AB">
      <w:instrText xml:space="preserve"> PAGE </w:instrText>
    </w:r>
    <w:r w:rsidRPr="00F709AB">
      <w:fldChar w:fldCharType="separate"/>
    </w:r>
    <w:r w:rsidR="00220589">
      <w:rPr>
        <w:noProof/>
      </w:rPr>
      <w:t>12</w:t>
    </w:r>
    <w:r w:rsidRPr="00F709A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9AC1B" w14:textId="77777777" w:rsidR="00106A2D" w:rsidRDefault="00106A2D" w:rsidP="00FD7BAA">
    <w:pPr>
      <w:jc w:val="center"/>
    </w:pPr>
    <w:r>
      <w:fldChar w:fldCharType="begin"/>
    </w:r>
    <w:r>
      <w:instrText xml:space="preserve"> PAGE </w:instrText>
    </w:r>
    <w:r>
      <w:fldChar w:fldCharType="separate"/>
    </w:r>
    <w:r w:rsidR="00220589">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05335" w14:textId="77777777" w:rsidR="00106A2D" w:rsidRDefault="00106A2D">
      <w:r>
        <w:separator/>
      </w:r>
    </w:p>
  </w:footnote>
  <w:footnote w:type="continuationSeparator" w:id="0">
    <w:p w14:paraId="046AA142" w14:textId="77777777" w:rsidR="00106A2D" w:rsidRDefault="00106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B6BE3" w14:textId="77777777" w:rsidR="00106A2D" w:rsidRDefault="00106A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91579" w14:textId="77777777" w:rsidR="00106A2D" w:rsidRDefault="00106A2D" w:rsidP="00227C67">
    <w:pPr>
      <w:pStyle w:val="BodyText1"/>
      <w:jc w:val="center"/>
    </w:pPr>
    <w:r>
      <w:rPr>
        <w:rStyle w:val="Italic"/>
        <w:i w:val="0"/>
      </w:rPr>
      <w:t>Water trade model</w:t>
    </w:r>
    <w:r>
      <w:tab/>
      <w:t>ABARES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3B270" w14:textId="77777777" w:rsidR="00106A2D" w:rsidRDefault="00106A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C9C9F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769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EC5E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DEB7B4"/>
    <w:lvl w:ilvl="0">
      <w:start w:val="1"/>
      <w:numFmt w:val="decimal"/>
      <w:pStyle w:val="ListNumber2"/>
      <w:lvlText w:val="%1."/>
      <w:lvlJc w:val="left"/>
      <w:pPr>
        <w:tabs>
          <w:tab w:val="num" w:pos="643"/>
        </w:tabs>
        <w:ind w:left="643" w:hanging="360"/>
      </w:pPr>
    </w:lvl>
  </w:abstractNum>
  <w:abstractNum w:abstractNumId="4" w15:restartNumberingAfterBreak="0">
    <w:nsid w:val="1AE463F3"/>
    <w:multiLevelType w:val="hybridMultilevel"/>
    <w:tmpl w:val="8314092E"/>
    <w:lvl w:ilvl="0" w:tplc="CC205F80">
      <w:start w:val="1"/>
      <w:numFmt w:val="bullet"/>
      <w:pStyle w:val="Tablebulletpoint"/>
      <w:lvlText w:val=""/>
      <w:lvlJc w:val="left"/>
      <w:pPr>
        <w:ind w:left="709" w:hanging="360"/>
      </w:pPr>
      <w:rPr>
        <w:rFonts w:ascii="Symbol" w:hAnsi="Symbol" w:hint="default"/>
      </w:rPr>
    </w:lvl>
    <w:lvl w:ilvl="1" w:tplc="4476E53E" w:tentative="1">
      <w:start w:val="1"/>
      <w:numFmt w:val="bullet"/>
      <w:lvlText w:val="o"/>
      <w:lvlJc w:val="left"/>
      <w:pPr>
        <w:ind w:left="1429" w:hanging="360"/>
      </w:pPr>
      <w:rPr>
        <w:rFonts w:ascii="Courier New" w:hAnsi="Courier New" w:cs="Courier New" w:hint="default"/>
      </w:rPr>
    </w:lvl>
    <w:lvl w:ilvl="2" w:tplc="2224207C" w:tentative="1">
      <w:start w:val="1"/>
      <w:numFmt w:val="bullet"/>
      <w:lvlText w:val=""/>
      <w:lvlJc w:val="left"/>
      <w:pPr>
        <w:ind w:left="2149" w:hanging="360"/>
      </w:pPr>
      <w:rPr>
        <w:rFonts w:ascii="Wingdings" w:hAnsi="Wingdings" w:hint="default"/>
      </w:rPr>
    </w:lvl>
    <w:lvl w:ilvl="3" w:tplc="8656056C" w:tentative="1">
      <w:start w:val="1"/>
      <w:numFmt w:val="bullet"/>
      <w:lvlText w:val=""/>
      <w:lvlJc w:val="left"/>
      <w:pPr>
        <w:ind w:left="2869" w:hanging="360"/>
      </w:pPr>
      <w:rPr>
        <w:rFonts w:ascii="Symbol" w:hAnsi="Symbol" w:hint="default"/>
      </w:rPr>
    </w:lvl>
    <w:lvl w:ilvl="4" w:tplc="534E5680" w:tentative="1">
      <w:start w:val="1"/>
      <w:numFmt w:val="bullet"/>
      <w:lvlText w:val="o"/>
      <w:lvlJc w:val="left"/>
      <w:pPr>
        <w:ind w:left="3589" w:hanging="360"/>
      </w:pPr>
      <w:rPr>
        <w:rFonts w:ascii="Courier New" w:hAnsi="Courier New" w:cs="Courier New" w:hint="default"/>
      </w:rPr>
    </w:lvl>
    <w:lvl w:ilvl="5" w:tplc="BDBA11DA" w:tentative="1">
      <w:start w:val="1"/>
      <w:numFmt w:val="bullet"/>
      <w:lvlText w:val=""/>
      <w:lvlJc w:val="left"/>
      <w:pPr>
        <w:ind w:left="4309" w:hanging="360"/>
      </w:pPr>
      <w:rPr>
        <w:rFonts w:ascii="Wingdings" w:hAnsi="Wingdings" w:hint="default"/>
      </w:rPr>
    </w:lvl>
    <w:lvl w:ilvl="6" w:tplc="4E6CFE50" w:tentative="1">
      <w:start w:val="1"/>
      <w:numFmt w:val="bullet"/>
      <w:lvlText w:val=""/>
      <w:lvlJc w:val="left"/>
      <w:pPr>
        <w:ind w:left="5029" w:hanging="360"/>
      </w:pPr>
      <w:rPr>
        <w:rFonts w:ascii="Symbol" w:hAnsi="Symbol" w:hint="default"/>
      </w:rPr>
    </w:lvl>
    <w:lvl w:ilvl="7" w:tplc="F6B4238A" w:tentative="1">
      <w:start w:val="1"/>
      <w:numFmt w:val="bullet"/>
      <w:lvlText w:val="o"/>
      <w:lvlJc w:val="left"/>
      <w:pPr>
        <w:ind w:left="5749" w:hanging="360"/>
      </w:pPr>
      <w:rPr>
        <w:rFonts w:ascii="Courier New" w:hAnsi="Courier New" w:cs="Courier New" w:hint="default"/>
      </w:rPr>
    </w:lvl>
    <w:lvl w:ilvl="8" w:tplc="BF36042A" w:tentative="1">
      <w:start w:val="1"/>
      <w:numFmt w:val="bullet"/>
      <w:lvlText w:val=""/>
      <w:lvlJc w:val="left"/>
      <w:pPr>
        <w:ind w:left="6469" w:hanging="360"/>
      </w:pPr>
      <w:rPr>
        <w:rFonts w:ascii="Wingdings" w:hAnsi="Wingdings" w:hint="default"/>
      </w:rPr>
    </w:lvl>
  </w:abstractNum>
  <w:abstractNum w:abstractNumId="5" w15:restartNumberingAfterBreak="0">
    <w:nsid w:val="1CD71580"/>
    <w:multiLevelType w:val="hybridMultilevel"/>
    <w:tmpl w:val="16AAE240"/>
    <w:lvl w:ilvl="0" w:tplc="8BB2C990">
      <w:start w:val="1"/>
      <w:numFmt w:val="bullet"/>
      <w:pStyle w:val="List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11417"/>
    <w:multiLevelType w:val="multilevel"/>
    <w:tmpl w:val="CBECD8D6"/>
    <w:styleLink w:val="bullet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A472E2D"/>
    <w:multiLevelType w:val="multilevel"/>
    <w:tmpl w:val="E7647912"/>
    <w:styleLink w:val="ABARESnumberedlist2"/>
    <w:lvl w:ilvl="0">
      <w:start w:val="1"/>
      <w:numFmt w:val="decimal"/>
      <w:pStyle w:val="Numberedlist-level1"/>
      <w:lvlText w:val="%1)"/>
      <w:lvlJc w:val="left"/>
      <w:pPr>
        <w:ind w:left="360" w:hanging="360"/>
      </w:pPr>
      <w:rPr>
        <w:rFonts w:hint="default"/>
        <w:color w:val="FF7900"/>
      </w:rPr>
    </w:lvl>
    <w:lvl w:ilvl="1">
      <w:start w:val="1"/>
      <w:numFmt w:val="lowerLetter"/>
      <w:pStyle w:val="Numberedlist-level2"/>
      <w:lvlText w:val="%2)"/>
      <w:lvlJc w:val="left"/>
      <w:pPr>
        <w:ind w:left="720" w:hanging="380"/>
      </w:pPr>
      <w:rPr>
        <w:rFonts w:hint="default"/>
      </w:rPr>
    </w:lvl>
    <w:lvl w:ilvl="2">
      <w:start w:val="1"/>
      <w:numFmt w:val="lowerRoman"/>
      <w:pStyle w:val="Numberedlist-level3"/>
      <w:lvlText w:val="%3)"/>
      <w:lvlJc w:val="left"/>
      <w:pPr>
        <w:ind w:left="1077" w:hanging="357"/>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8" w15:restartNumberingAfterBreak="0">
    <w:nsid w:val="3B2B262A"/>
    <w:multiLevelType w:val="multilevel"/>
    <w:tmpl w:val="E8CC7262"/>
    <w:lvl w:ilvl="0">
      <w:start w:val="1"/>
      <w:numFmt w:val="bullet"/>
      <w:lvlText w:val=""/>
      <w:lvlJc w:val="left"/>
      <w:pPr>
        <w:ind w:left="567" w:hanging="567"/>
      </w:pPr>
      <w:rPr>
        <w:rFonts w:ascii="Symbol" w:hAnsi="Symbol" w:hint="default"/>
        <w:color w:val="FF7900"/>
      </w:rPr>
    </w:lvl>
    <w:lvl w:ilvl="1">
      <w:start w:val="1"/>
      <w:numFmt w:val="bullet"/>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9" w15:restartNumberingAfterBreak="0">
    <w:nsid w:val="4C547036"/>
    <w:multiLevelType w:val="multilevel"/>
    <w:tmpl w:val="E8CC7262"/>
    <w:styleLink w:val="ABARESbulletedlist"/>
    <w:lvl w:ilvl="0">
      <w:start w:val="1"/>
      <w:numFmt w:val="bullet"/>
      <w:pStyle w:val="Bulletlist-level1"/>
      <w:lvlText w:val=""/>
      <w:lvlJc w:val="left"/>
      <w:pPr>
        <w:ind w:left="567" w:hanging="567"/>
      </w:pPr>
      <w:rPr>
        <w:rFonts w:ascii="Symbol" w:hAnsi="Symbol" w:hint="default"/>
        <w:color w:val="FF7900"/>
      </w:rPr>
    </w:lvl>
    <w:lvl w:ilvl="1">
      <w:start w:val="1"/>
      <w:numFmt w:val="bullet"/>
      <w:pStyle w:val="Bulletlist-level2"/>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10" w15:restartNumberingAfterBreak="0">
    <w:nsid w:val="55364439"/>
    <w:multiLevelType w:val="multilevel"/>
    <w:tmpl w:val="427E4520"/>
    <w:styleLink w:val="ABARESnumberedlist"/>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770342E"/>
    <w:multiLevelType w:val="multilevel"/>
    <w:tmpl w:val="F75C17F0"/>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8D64110"/>
    <w:multiLevelType w:val="multilevel"/>
    <w:tmpl w:val="E7647912"/>
    <w:numStyleLink w:val="ABARESnumberedlist2"/>
  </w:abstractNum>
  <w:abstractNum w:abstractNumId="13" w15:restartNumberingAfterBreak="0">
    <w:nsid w:val="590609C1"/>
    <w:multiLevelType w:val="multilevel"/>
    <w:tmpl w:val="E8CC7262"/>
    <w:numStyleLink w:val="ABARESbulletedlist"/>
  </w:abstractNum>
  <w:abstractNum w:abstractNumId="14" w15:restartNumberingAfterBreak="0">
    <w:nsid w:val="5AC33B48"/>
    <w:multiLevelType w:val="hybridMultilevel"/>
    <w:tmpl w:val="17FC66E2"/>
    <w:lvl w:ilvl="0" w:tplc="583ECAB6">
      <w:start w:val="1"/>
      <w:numFmt w:val="decimal"/>
      <w:pStyle w:val="Heading1"/>
      <w:lvlText w:val="%1"/>
      <w:lvlJc w:val="left"/>
      <w:pPr>
        <w:ind w:left="4897" w:hanging="360"/>
      </w:pPr>
      <w:rPr>
        <w:rFonts w:hint="default"/>
      </w:rPr>
    </w:lvl>
    <w:lvl w:ilvl="1" w:tplc="609EF51A" w:tentative="1">
      <w:start w:val="1"/>
      <w:numFmt w:val="lowerLetter"/>
      <w:lvlText w:val="%2."/>
      <w:lvlJc w:val="left"/>
      <w:pPr>
        <w:ind w:left="1920" w:hanging="360"/>
      </w:pPr>
    </w:lvl>
    <w:lvl w:ilvl="2" w:tplc="923CA714" w:tentative="1">
      <w:start w:val="1"/>
      <w:numFmt w:val="lowerRoman"/>
      <w:lvlText w:val="%3."/>
      <w:lvlJc w:val="right"/>
      <w:pPr>
        <w:ind w:left="2640" w:hanging="180"/>
      </w:pPr>
    </w:lvl>
    <w:lvl w:ilvl="3" w:tplc="3E98C9C2" w:tentative="1">
      <w:start w:val="1"/>
      <w:numFmt w:val="decimal"/>
      <w:lvlText w:val="%4."/>
      <w:lvlJc w:val="left"/>
      <w:pPr>
        <w:ind w:left="3360" w:hanging="360"/>
      </w:pPr>
    </w:lvl>
    <w:lvl w:ilvl="4" w:tplc="947244D2" w:tentative="1">
      <w:start w:val="1"/>
      <w:numFmt w:val="lowerLetter"/>
      <w:lvlText w:val="%5."/>
      <w:lvlJc w:val="left"/>
      <w:pPr>
        <w:ind w:left="4080" w:hanging="360"/>
      </w:pPr>
    </w:lvl>
    <w:lvl w:ilvl="5" w:tplc="9EA0D2F6" w:tentative="1">
      <w:start w:val="1"/>
      <w:numFmt w:val="lowerRoman"/>
      <w:lvlText w:val="%6."/>
      <w:lvlJc w:val="right"/>
      <w:pPr>
        <w:ind w:left="4800" w:hanging="180"/>
      </w:pPr>
    </w:lvl>
    <w:lvl w:ilvl="6" w:tplc="CC86B1BA" w:tentative="1">
      <w:start w:val="1"/>
      <w:numFmt w:val="decimal"/>
      <w:lvlText w:val="%7."/>
      <w:lvlJc w:val="left"/>
      <w:pPr>
        <w:ind w:left="5520" w:hanging="360"/>
      </w:pPr>
    </w:lvl>
    <w:lvl w:ilvl="7" w:tplc="C4BE511A" w:tentative="1">
      <w:start w:val="1"/>
      <w:numFmt w:val="lowerLetter"/>
      <w:lvlText w:val="%8."/>
      <w:lvlJc w:val="left"/>
      <w:pPr>
        <w:ind w:left="6240" w:hanging="360"/>
      </w:pPr>
    </w:lvl>
    <w:lvl w:ilvl="8" w:tplc="C95696BA" w:tentative="1">
      <w:start w:val="1"/>
      <w:numFmt w:val="lowerRoman"/>
      <w:lvlText w:val="%9."/>
      <w:lvlJc w:val="right"/>
      <w:pPr>
        <w:ind w:left="6960" w:hanging="180"/>
      </w:pPr>
    </w:lvl>
  </w:abstractNum>
  <w:abstractNum w:abstractNumId="15" w15:restartNumberingAfterBreak="0">
    <w:nsid w:val="737D471A"/>
    <w:multiLevelType w:val="hybridMultilevel"/>
    <w:tmpl w:val="03F2D81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6" w15:restartNumberingAfterBreak="0">
    <w:nsid w:val="7C9940FF"/>
    <w:multiLevelType w:val="hybridMultilevel"/>
    <w:tmpl w:val="C9846804"/>
    <w:lvl w:ilvl="0" w:tplc="77126EDE">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9"/>
  </w:num>
  <w:num w:numId="3">
    <w:abstractNumId w:val="10"/>
  </w:num>
  <w:num w:numId="4">
    <w:abstractNumId w:val="6"/>
  </w:num>
  <w:num w:numId="5">
    <w:abstractNumId w:val="5"/>
  </w:num>
  <w:num w:numId="6">
    <w:abstractNumId w:val="7"/>
  </w:num>
  <w:num w:numId="7">
    <w:abstractNumId w:val="4"/>
  </w:num>
  <w:num w:numId="8">
    <w:abstractNumId w:val="11"/>
  </w:num>
  <w:num w:numId="9">
    <w:abstractNumId w:val="16"/>
  </w:num>
  <w:num w:numId="10">
    <w:abstractNumId w:val="3"/>
  </w:num>
  <w:num w:numId="11">
    <w:abstractNumId w:val="2"/>
  </w:num>
  <w:num w:numId="12">
    <w:abstractNumId w:val="1"/>
  </w:num>
  <w:num w:numId="13">
    <w:abstractNumId w:val="0"/>
  </w:num>
  <w:num w:numId="14">
    <w:abstractNumId w:val="13"/>
    <w:lvlOverride w:ilvl="0">
      <w:lvl w:ilvl="0">
        <w:start w:val="1"/>
        <w:numFmt w:val="bullet"/>
        <w:pStyle w:val="Bulletlist-level1"/>
        <w:lvlText w:val=""/>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5">
    <w:abstractNumId w:val="12"/>
  </w:num>
  <w:num w:numId="16">
    <w:abstractNumId w:val="8"/>
  </w:num>
  <w:num w:numId="17">
    <w:abstractNumId w:val="13"/>
  </w:num>
  <w:num w:numId="18">
    <w:abstractNumId w:val="15"/>
  </w:num>
  <w:num w:numId="19">
    <w:abstractNumId w:val="13"/>
    <w:lvlOverride w:ilvl="0">
      <w:lvl w:ilvl="0">
        <w:start w:val="1"/>
        <w:numFmt w:val="bullet"/>
        <w:pStyle w:val="Bulletlist-level1"/>
        <w:lvlText w:val=""/>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fb3148d1-591d-45f2-8413-046683498642"/>
  </w:docVars>
  <w:rsids>
    <w:rsidRoot w:val="00590D07"/>
    <w:rsid w:val="0000276B"/>
    <w:rsid w:val="0000760D"/>
    <w:rsid w:val="0001044B"/>
    <w:rsid w:val="00011C8B"/>
    <w:rsid w:val="00013BC2"/>
    <w:rsid w:val="00016195"/>
    <w:rsid w:val="0002476F"/>
    <w:rsid w:val="00024E9E"/>
    <w:rsid w:val="00035994"/>
    <w:rsid w:val="000418D7"/>
    <w:rsid w:val="00042486"/>
    <w:rsid w:val="00043AEF"/>
    <w:rsid w:val="00045948"/>
    <w:rsid w:val="00046338"/>
    <w:rsid w:val="00050AD7"/>
    <w:rsid w:val="0005363B"/>
    <w:rsid w:val="00056E6B"/>
    <w:rsid w:val="0005712A"/>
    <w:rsid w:val="0006068F"/>
    <w:rsid w:val="00061D51"/>
    <w:rsid w:val="00062F8F"/>
    <w:rsid w:val="000633DC"/>
    <w:rsid w:val="000662B5"/>
    <w:rsid w:val="00075080"/>
    <w:rsid w:val="000765C0"/>
    <w:rsid w:val="00077056"/>
    <w:rsid w:val="00081C81"/>
    <w:rsid w:val="00082949"/>
    <w:rsid w:val="000876AD"/>
    <w:rsid w:val="00090FE6"/>
    <w:rsid w:val="00093411"/>
    <w:rsid w:val="00093E24"/>
    <w:rsid w:val="000A07DB"/>
    <w:rsid w:val="000A1BCE"/>
    <w:rsid w:val="000A2783"/>
    <w:rsid w:val="000A60AF"/>
    <w:rsid w:val="000A6858"/>
    <w:rsid w:val="000A6BD3"/>
    <w:rsid w:val="000B1ECB"/>
    <w:rsid w:val="000C13F5"/>
    <w:rsid w:val="000C187F"/>
    <w:rsid w:val="000C241C"/>
    <w:rsid w:val="000C3CA1"/>
    <w:rsid w:val="000C5953"/>
    <w:rsid w:val="000C6F80"/>
    <w:rsid w:val="000C79C8"/>
    <w:rsid w:val="000D0062"/>
    <w:rsid w:val="000D13F4"/>
    <w:rsid w:val="000D23C6"/>
    <w:rsid w:val="000D63EC"/>
    <w:rsid w:val="000E0FC6"/>
    <w:rsid w:val="000E6BCB"/>
    <w:rsid w:val="000E7B5E"/>
    <w:rsid w:val="000F1140"/>
    <w:rsid w:val="000F26DA"/>
    <w:rsid w:val="000F7DE2"/>
    <w:rsid w:val="001001F8"/>
    <w:rsid w:val="00103511"/>
    <w:rsid w:val="00104966"/>
    <w:rsid w:val="00104BDD"/>
    <w:rsid w:val="00106A2D"/>
    <w:rsid w:val="0010700C"/>
    <w:rsid w:val="001221CD"/>
    <w:rsid w:val="00123963"/>
    <w:rsid w:val="001249E3"/>
    <w:rsid w:val="00133DF2"/>
    <w:rsid w:val="00140FAA"/>
    <w:rsid w:val="0014253E"/>
    <w:rsid w:val="001515D1"/>
    <w:rsid w:val="001516A4"/>
    <w:rsid w:val="001517EF"/>
    <w:rsid w:val="00153110"/>
    <w:rsid w:val="00163270"/>
    <w:rsid w:val="00165E06"/>
    <w:rsid w:val="00167CA3"/>
    <w:rsid w:val="0017049C"/>
    <w:rsid w:val="00173E15"/>
    <w:rsid w:val="00174C27"/>
    <w:rsid w:val="00176F1F"/>
    <w:rsid w:val="00180637"/>
    <w:rsid w:val="0018270F"/>
    <w:rsid w:val="00186EAB"/>
    <w:rsid w:val="00187CAF"/>
    <w:rsid w:val="001901E7"/>
    <w:rsid w:val="00190D4C"/>
    <w:rsid w:val="00192FEB"/>
    <w:rsid w:val="001951C0"/>
    <w:rsid w:val="001A08DF"/>
    <w:rsid w:val="001A4ACC"/>
    <w:rsid w:val="001B4FAA"/>
    <w:rsid w:val="001B552F"/>
    <w:rsid w:val="001D55AA"/>
    <w:rsid w:val="001D6D0D"/>
    <w:rsid w:val="001E1940"/>
    <w:rsid w:val="001E4895"/>
    <w:rsid w:val="001E71B4"/>
    <w:rsid w:val="001E7B14"/>
    <w:rsid w:val="001F241C"/>
    <w:rsid w:val="002024B2"/>
    <w:rsid w:val="00202FFB"/>
    <w:rsid w:val="00204668"/>
    <w:rsid w:val="00204C8B"/>
    <w:rsid w:val="00206AD2"/>
    <w:rsid w:val="00206BDD"/>
    <w:rsid w:val="00210CC5"/>
    <w:rsid w:val="00211ED7"/>
    <w:rsid w:val="002130CB"/>
    <w:rsid w:val="00213BC3"/>
    <w:rsid w:val="00220589"/>
    <w:rsid w:val="00220B68"/>
    <w:rsid w:val="0022159F"/>
    <w:rsid w:val="00222487"/>
    <w:rsid w:val="002228C2"/>
    <w:rsid w:val="00227C67"/>
    <w:rsid w:val="00227F5F"/>
    <w:rsid w:val="0023156F"/>
    <w:rsid w:val="00231F36"/>
    <w:rsid w:val="0023619F"/>
    <w:rsid w:val="002365BC"/>
    <w:rsid w:val="002425E9"/>
    <w:rsid w:val="00242B02"/>
    <w:rsid w:val="002471B2"/>
    <w:rsid w:val="00250A11"/>
    <w:rsid w:val="00250C37"/>
    <w:rsid w:val="00255138"/>
    <w:rsid w:val="002559B6"/>
    <w:rsid w:val="00263726"/>
    <w:rsid w:val="0026472E"/>
    <w:rsid w:val="00265CA3"/>
    <w:rsid w:val="0027239B"/>
    <w:rsid w:val="00273330"/>
    <w:rsid w:val="0027343A"/>
    <w:rsid w:val="002758B2"/>
    <w:rsid w:val="002758CD"/>
    <w:rsid w:val="00275ACB"/>
    <w:rsid w:val="00275EC0"/>
    <w:rsid w:val="00276629"/>
    <w:rsid w:val="00277454"/>
    <w:rsid w:val="0028136D"/>
    <w:rsid w:val="00283732"/>
    <w:rsid w:val="00285A02"/>
    <w:rsid w:val="00286803"/>
    <w:rsid w:val="00287967"/>
    <w:rsid w:val="002904AD"/>
    <w:rsid w:val="00292C8C"/>
    <w:rsid w:val="00294CE0"/>
    <w:rsid w:val="00297828"/>
    <w:rsid w:val="002A0925"/>
    <w:rsid w:val="002A0DD4"/>
    <w:rsid w:val="002A14B1"/>
    <w:rsid w:val="002A339E"/>
    <w:rsid w:val="002A434A"/>
    <w:rsid w:val="002A6313"/>
    <w:rsid w:val="002A6CF8"/>
    <w:rsid w:val="002B0505"/>
    <w:rsid w:val="002B0DAC"/>
    <w:rsid w:val="002B318D"/>
    <w:rsid w:val="002C03FB"/>
    <w:rsid w:val="002C1A11"/>
    <w:rsid w:val="002C5097"/>
    <w:rsid w:val="002C79D0"/>
    <w:rsid w:val="002D1BE6"/>
    <w:rsid w:val="002D4C60"/>
    <w:rsid w:val="002D4DC3"/>
    <w:rsid w:val="002D5DBA"/>
    <w:rsid w:val="002D6B52"/>
    <w:rsid w:val="002E598F"/>
    <w:rsid w:val="002E64F1"/>
    <w:rsid w:val="002E69E0"/>
    <w:rsid w:val="002E707E"/>
    <w:rsid w:val="002E70F7"/>
    <w:rsid w:val="002F0E76"/>
    <w:rsid w:val="002F2E9D"/>
    <w:rsid w:val="002F3BA6"/>
    <w:rsid w:val="00301A2B"/>
    <w:rsid w:val="00302DAD"/>
    <w:rsid w:val="003040C6"/>
    <w:rsid w:val="003105BA"/>
    <w:rsid w:val="003141BF"/>
    <w:rsid w:val="00316924"/>
    <w:rsid w:val="0031777E"/>
    <w:rsid w:val="003178C3"/>
    <w:rsid w:val="003215E3"/>
    <w:rsid w:val="00321C26"/>
    <w:rsid w:val="003223DB"/>
    <w:rsid w:val="00325FFD"/>
    <w:rsid w:val="00335DE9"/>
    <w:rsid w:val="00343E61"/>
    <w:rsid w:val="00344E74"/>
    <w:rsid w:val="003452C0"/>
    <w:rsid w:val="00347A58"/>
    <w:rsid w:val="00356A51"/>
    <w:rsid w:val="0036280F"/>
    <w:rsid w:val="003641B6"/>
    <w:rsid w:val="003679EF"/>
    <w:rsid w:val="00370308"/>
    <w:rsid w:val="00370741"/>
    <w:rsid w:val="00370AE0"/>
    <w:rsid w:val="00376604"/>
    <w:rsid w:val="00376F9E"/>
    <w:rsid w:val="003772F4"/>
    <w:rsid w:val="0038283E"/>
    <w:rsid w:val="003922DB"/>
    <w:rsid w:val="003A2EE4"/>
    <w:rsid w:val="003A5C9C"/>
    <w:rsid w:val="003A6242"/>
    <w:rsid w:val="003A6CC3"/>
    <w:rsid w:val="003A6EDC"/>
    <w:rsid w:val="003B542B"/>
    <w:rsid w:val="003C0750"/>
    <w:rsid w:val="003C0EA9"/>
    <w:rsid w:val="003C4215"/>
    <w:rsid w:val="003C5AB2"/>
    <w:rsid w:val="003D089D"/>
    <w:rsid w:val="003D7B7A"/>
    <w:rsid w:val="003E1732"/>
    <w:rsid w:val="003E24B5"/>
    <w:rsid w:val="003E3AD7"/>
    <w:rsid w:val="003E59CC"/>
    <w:rsid w:val="003E74BE"/>
    <w:rsid w:val="003E7927"/>
    <w:rsid w:val="003F0489"/>
    <w:rsid w:val="003F0F20"/>
    <w:rsid w:val="003F1081"/>
    <w:rsid w:val="003F1E76"/>
    <w:rsid w:val="003F2055"/>
    <w:rsid w:val="003F3C32"/>
    <w:rsid w:val="003F6088"/>
    <w:rsid w:val="0040050E"/>
    <w:rsid w:val="00400D08"/>
    <w:rsid w:val="00401595"/>
    <w:rsid w:val="00401CAD"/>
    <w:rsid w:val="00413275"/>
    <w:rsid w:val="0041376C"/>
    <w:rsid w:val="00415C7E"/>
    <w:rsid w:val="00420F97"/>
    <w:rsid w:val="004216AB"/>
    <w:rsid w:val="0042203F"/>
    <w:rsid w:val="00424B86"/>
    <w:rsid w:val="004256D1"/>
    <w:rsid w:val="0043149A"/>
    <w:rsid w:val="0043238C"/>
    <w:rsid w:val="004333E0"/>
    <w:rsid w:val="00433791"/>
    <w:rsid w:val="00433CAA"/>
    <w:rsid w:val="0043481E"/>
    <w:rsid w:val="00434E96"/>
    <w:rsid w:val="004362A1"/>
    <w:rsid w:val="00450CF5"/>
    <w:rsid w:val="00450D9C"/>
    <w:rsid w:val="0045242F"/>
    <w:rsid w:val="00453BBC"/>
    <w:rsid w:val="004565FA"/>
    <w:rsid w:val="004566D1"/>
    <w:rsid w:val="00457B69"/>
    <w:rsid w:val="00464ABB"/>
    <w:rsid w:val="004651ED"/>
    <w:rsid w:val="00466173"/>
    <w:rsid w:val="00472597"/>
    <w:rsid w:val="0047277C"/>
    <w:rsid w:val="00477809"/>
    <w:rsid w:val="0048555E"/>
    <w:rsid w:val="00485A9E"/>
    <w:rsid w:val="00486376"/>
    <w:rsid w:val="004863C2"/>
    <w:rsid w:val="004917E7"/>
    <w:rsid w:val="00497C62"/>
    <w:rsid w:val="004A4B3E"/>
    <w:rsid w:val="004A587D"/>
    <w:rsid w:val="004A5C35"/>
    <w:rsid w:val="004B2513"/>
    <w:rsid w:val="004B47D4"/>
    <w:rsid w:val="004C62A7"/>
    <w:rsid w:val="004C792B"/>
    <w:rsid w:val="004D5451"/>
    <w:rsid w:val="004D56CD"/>
    <w:rsid w:val="004E29B3"/>
    <w:rsid w:val="004F1250"/>
    <w:rsid w:val="004F5B7E"/>
    <w:rsid w:val="004F6B0E"/>
    <w:rsid w:val="004F7063"/>
    <w:rsid w:val="0050041C"/>
    <w:rsid w:val="005014C2"/>
    <w:rsid w:val="00501F7B"/>
    <w:rsid w:val="00504A90"/>
    <w:rsid w:val="005069BA"/>
    <w:rsid w:val="00510B28"/>
    <w:rsid w:val="00514171"/>
    <w:rsid w:val="0052348C"/>
    <w:rsid w:val="00523A6D"/>
    <w:rsid w:val="0052513F"/>
    <w:rsid w:val="00532986"/>
    <w:rsid w:val="00542C82"/>
    <w:rsid w:val="0054324E"/>
    <w:rsid w:val="0054666C"/>
    <w:rsid w:val="00547CDA"/>
    <w:rsid w:val="005615DC"/>
    <w:rsid w:val="005665FF"/>
    <w:rsid w:val="00567FBE"/>
    <w:rsid w:val="00580590"/>
    <w:rsid w:val="005868A8"/>
    <w:rsid w:val="00587A38"/>
    <w:rsid w:val="00587E78"/>
    <w:rsid w:val="00590864"/>
    <w:rsid w:val="00590D07"/>
    <w:rsid w:val="00590E23"/>
    <w:rsid w:val="00590E83"/>
    <w:rsid w:val="005A0CAA"/>
    <w:rsid w:val="005A2A2A"/>
    <w:rsid w:val="005A3393"/>
    <w:rsid w:val="005A33AE"/>
    <w:rsid w:val="005A714F"/>
    <w:rsid w:val="005A7EFD"/>
    <w:rsid w:val="005B23DD"/>
    <w:rsid w:val="005B4A33"/>
    <w:rsid w:val="005B7DA4"/>
    <w:rsid w:val="005C1AB7"/>
    <w:rsid w:val="005D0960"/>
    <w:rsid w:val="005D1AA6"/>
    <w:rsid w:val="005D6E8F"/>
    <w:rsid w:val="005D7DAA"/>
    <w:rsid w:val="005E365B"/>
    <w:rsid w:val="005E51A3"/>
    <w:rsid w:val="005E593B"/>
    <w:rsid w:val="005E6674"/>
    <w:rsid w:val="005E760D"/>
    <w:rsid w:val="005F008E"/>
    <w:rsid w:val="005F4188"/>
    <w:rsid w:val="005F4BFF"/>
    <w:rsid w:val="005F553D"/>
    <w:rsid w:val="005F6A10"/>
    <w:rsid w:val="005F7A30"/>
    <w:rsid w:val="006028E3"/>
    <w:rsid w:val="00604969"/>
    <w:rsid w:val="0060763D"/>
    <w:rsid w:val="00611BB3"/>
    <w:rsid w:val="0061237B"/>
    <w:rsid w:val="006126FC"/>
    <w:rsid w:val="006151DA"/>
    <w:rsid w:val="00615F6D"/>
    <w:rsid w:val="00620B77"/>
    <w:rsid w:val="006211B0"/>
    <w:rsid w:val="00622A3A"/>
    <w:rsid w:val="00632136"/>
    <w:rsid w:val="006322BA"/>
    <w:rsid w:val="00636D1B"/>
    <w:rsid w:val="0064010B"/>
    <w:rsid w:val="00641A4D"/>
    <w:rsid w:val="00644148"/>
    <w:rsid w:val="0064700B"/>
    <w:rsid w:val="00650463"/>
    <w:rsid w:val="0065435E"/>
    <w:rsid w:val="0065504A"/>
    <w:rsid w:val="0065600B"/>
    <w:rsid w:val="006574BC"/>
    <w:rsid w:val="006577B5"/>
    <w:rsid w:val="00665E67"/>
    <w:rsid w:val="00666E46"/>
    <w:rsid w:val="00670D13"/>
    <w:rsid w:val="00674637"/>
    <w:rsid w:val="006760BC"/>
    <w:rsid w:val="006763EB"/>
    <w:rsid w:val="00681882"/>
    <w:rsid w:val="00681A7A"/>
    <w:rsid w:val="006877E3"/>
    <w:rsid w:val="00691770"/>
    <w:rsid w:val="006947A0"/>
    <w:rsid w:val="006A135A"/>
    <w:rsid w:val="006A552D"/>
    <w:rsid w:val="006A5CB3"/>
    <w:rsid w:val="006A631D"/>
    <w:rsid w:val="006B095E"/>
    <w:rsid w:val="006B39AE"/>
    <w:rsid w:val="006B5BD9"/>
    <w:rsid w:val="006C374A"/>
    <w:rsid w:val="006C762D"/>
    <w:rsid w:val="006D7FB6"/>
    <w:rsid w:val="006E24BC"/>
    <w:rsid w:val="006E3CE9"/>
    <w:rsid w:val="006E6A24"/>
    <w:rsid w:val="006F2219"/>
    <w:rsid w:val="006F3E28"/>
    <w:rsid w:val="006F5651"/>
    <w:rsid w:val="007026A9"/>
    <w:rsid w:val="00702F28"/>
    <w:rsid w:val="00703E57"/>
    <w:rsid w:val="00703F21"/>
    <w:rsid w:val="00705FE7"/>
    <w:rsid w:val="007150FB"/>
    <w:rsid w:val="00722A07"/>
    <w:rsid w:val="00730C47"/>
    <w:rsid w:val="00731422"/>
    <w:rsid w:val="00732568"/>
    <w:rsid w:val="007345C8"/>
    <w:rsid w:val="00736436"/>
    <w:rsid w:val="00740A61"/>
    <w:rsid w:val="00740C8D"/>
    <w:rsid w:val="00741A66"/>
    <w:rsid w:val="00743F11"/>
    <w:rsid w:val="007456EE"/>
    <w:rsid w:val="007470BE"/>
    <w:rsid w:val="00750FF5"/>
    <w:rsid w:val="007527CD"/>
    <w:rsid w:val="00754261"/>
    <w:rsid w:val="007559C7"/>
    <w:rsid w:val="007657BE"/>
    <w:rsid w:val="00766B1A"/>
    <w:rsid w:val="00767A67"/>
    <w:rsid w:val="00772C14"/>
    <w:rsid w:val="00772F9F"/>
    <w:rsid w:val="007766C0"/>
    <w:rsid w:val="00777422"/>
    <w:rsid w:val="007777A4"/>
    <w:rsid w:val="0078209B"/>
    <w:rsid w:val="007837C4"/>
    <w:rsid w:val="007840A2"/>
    <w:rsid w:val="00784281"/>
    <w:rsid w:val="00784D58"/>
    <w:rsid w:val="00786188"/>
    <w:rsid w:val="0078660D"/>
    <w:rsid w:val="007905F2"/>
    <w:rsid w:val="007927AF"/>
    <w:rsid w:val="00793024"/>
    <w:rsid w:val="00795E9F"/>
    <w:rsid w:val="0079654D"/>
    <w:rsid w:val="00797B4F"/>
    <w:rsid w:val="007A0801"/>
    <w:rsid w:val="007A30BC"/>
    <w:rsid w:val="007A3926"/>
    <w:rsid w:val="007A3EEF"/>
    <w:rsid w:val="007A521C"/>
    <w:rsid w:val="007A70AA"/>
    <w:rsid w:val="007B0D9E"/>
    <w:rsid w:val="007B2C32"/>
    <w:rsid w:val="007B2D4C"/>
    <w:rsid w:val="007B6DA3"/>
    <w:rsid w:val="007B7F9A"/>
    <w:rsid w:val="007C1309"/>
    <w:rsid w:val="007C5E76"/>
    <w:rsid w:val="007C716D"/>
    <w:rsid w:val="007D0869"/>
    <w:rsid w:val="007D1689"/>
    <w:rsid w:val="007D1768"/>
    <w:rsid w:val="007D3857"/>
    <w:rsid w:val="007D39A8"/>
    <w:rsid w:val="007D471B"/>
    <w:rsid w:val="007D4E9F"/>
    <w:rsid w:val="007D5F81"/>
    <w:rsid w:val="007D631E"/>
    <w:rsid w:val="007D6AC1"/>
    <w:rsid w:val="007E0035"/>
    <w:rsid w:val="007E2D75"/>
    <w:rsid w:val="007E7595"/>
    <w:rsid w:val="007E7BF9"/>
    <w:rsid w:val="00802327"/>
    <w:rsid w:val="00802E49"/>
    <w:rsid w:val="00803A86"/>
    <w:rsid w:val="00804B30"/>
    <w:rsid w:val="00804F4E"/>
    <w:rsid w:val="008073EE"/>
    <w:rsid w:val="00807497"/>
    <w:rsid w:val="00807913"/>
    <w:rsid w:val="00811918"/>
    <w:rsid w:val="00811B73"/>
    <w:rsid w:val="008142B9"/>
    <w:rsid w:val="00820560"/>
    <w:rsid w:val="00823475"/>
    <w:rsid w:val="00823528"/>
    <w:rsid w:val="0082611E"/>
    <w:rsid w:val="00832D31"/>
    <w:rsid w:val="008335EA"/>
    <w:rsid w:val="0083385B"/>
    <w:rsid w:val="00835832"/>
    <w:rsid w:val="0083612F"/>
    <w:rsid w:val="00836668"/>
    <w:rsid w:val="00841DBB"/>
    <w:rsid w:val="008430A1"/>
    <w:rsid w:val="00850BDD"/>
    <w:rsid w:val="00853A13"/>
    <w:rsid w:val="008616A4"/>
    <w:rsid w:val="00862684"/>
    <w:rsid w:val="00866B72"/>
    <w:rsid w:val="008676A4"/>
    <w:rsid w:val="0087134F"/>
    <w:rsid w:val="00871FD8"/>
    <w:rsid w:val="008730F1"/>
    <w:rsid w:val="0087360B"/>
    <w:rsid w:val="008751DB"/>
    <w:rsid w:val="00880F82"/>
    <w:rsid w:val="00881675"/>
    <w:rsid w:val="00881941"/>
    <w:rsid w:val="00882AFF"/>
    <w:rsid w:val="0088506A"/>
    <w:rsid w:val="008853EE"/>
    <w:rsid w:val="00893A83"/>
    <w:rsid w:val="008A1062"/>
    <w:rsid w:val="008A5092"/>
    <w:rsid w:val="008A583C"/>
    <w:rsid w:val="008A63CB"/>
    <w:rsid w:val="008A6A00"/>
    <w:rsid w:val="008A7C81"/>
    <w:rsid w:val="008B457D"/>
    <w:rsid w:val="008B55A2"/>
    <w:rsid w:val="008B5C63"/>
    <w:rsid w:val="008B664A"/>
    <w:rsid w:val="008B6E9F"/>
    <w:rsid w:val="008C0219"/>
    <w:rsid w:val="008C218F"/>
    <w:rsid w:val="008C2ACE"/>
    <w:rsid w:val="008C4C5D"/>
    <w:rsid w:val="008D557A"/>
    <w:rsid w:val="008D6863"/>
    <w:rsid w:val="008E0466"/>
    <w:rsid w:val="008E1AD6"/>
    <w:rsid w:val="008E3B7E"/>
    <w:rsid w:val="008E4AE4"/>
    <w:rsid w:val="008F0466"/>
    <w:rsid w:val="008F3D63"/>
    <w:rsid w:val="008F4C92"/>
    <w:rsid w:val="008F6F6F"/>
    <w:rsid w:val="00900BB7"/>
    <w:rsid w:val="00903539"/>
    <w:rsid w:val="009062BF"/>
    <w:rsid w:val="00907FC8"/>
    <w:rsid w:val="00910CF0"/>
    <w:rsid w:val="00912EFF"/>
    <w:rsid w:val="00915ABD"/>
    <w:rsid w:val="0091612D"/>
    <w:rsid w:val="00922005"/>
    <w:rsid w:val="00922882"/>
    <w:rsid w:val="00925E1C"/>
    <w:rsid w:val="00932A89"/>
    <w:rsid w:val="00934326"/>
    <w:rsid w:val="00935FDA"/>
    <w:rsid w:val="00936D24"/>
    <w:rsid w:val="0093714B"/>
    <w:rsid w:val="00940049"/>
    <w:rsid w:val="00950BF1"/>
    <w:rsid w:val="00951F08"/>
    <w:rsid w:val="00952374"/>
    <w:rsid w:val="00955259"/>
    <w:rsid w:val="00957450"/>
    <w:rsid w:val="0096186B"/>
    <w:rsid w:val="00961C6B"/>
    <w:rsid w:val="00961E1F"/>
    <w:rsid w:val="00961E8B"/>
    <w:rsid w:val="00962E6C"/>
    <w:rsid w:val="0096347D"/>
    <w:rsid w:val="00965D03"/>
    <w:rsid w:val="00966898"/>
    <w:rsid w:val="00973B94"/>
    <w:rsid w:val="00973EBC"/>
    <w:rsid w:val="00974695"/>
    <w:rsid w:val="0097482B"/>
    <w:rsid w:val="0098033E"/>
    <w:rsid w:val="00985F64"/>
    <w:rsid w:val="0098627B"/>
    <w:rsid w:val="00991C80"/>
    <w:rsid w:val="009926E9"/>
    <w:rsid w:val="009934A2"/>
    <w:rsid w:val="00996DD1"/>
    <w:rsid w:val="009977C2"/>
    <w:rsid w:val="009B1115"/>
    <w:rsid w:val="009B1841"/>
    <w:rsid w:val="009B2BD3"/>
    <w:rsid w:val="009C15AC"/>
    <w:rsid w:val="009C420A"/>
    <w:rsid w:val="009C5621"/>
    <w:rsid w:val="009C6557"/>
    <w:rsid w:val="009D3C3D"/>
    <w:rsid w:val="009D5F0B"/>
    <w:rsid w:val="009D6425"/>
    <w:rsid w:val="009D78B1"/>
    <w:rsid w:val="009E580E"/>
    <w:rsid w:val="009E77FA"/>
    <w:rsid w:val="009F117A"/>
    <w:rsid w:val="00A0149E"/>
    <w:rsid w:val="00A02654"/>
    <w:rsid w:val="00A061AB"/>
    <w:rsid w:val="00A07821"/>
    <w:rsid w:val="00A10006"/>
    <w:rsid w:val="00A12E14"/>
    <w:rsid w:val="00A13D02"/>
    <w:rsid w:val="00A14EEB"/>
    <w:rsid w:val="00A215D7"/>
    <w:rsid w:val="00A2230E"/>
    <w:rsid w:val="00A30423"/>
    <w:rsid w:val="00A30DC0"/>
    <w:rsid w:val="00A311AB"/>
    <w:rsid w:val="00A32F8E"/>
    <w:rsid w:val="00A42711"/>
    <w:rsid w:val="00A43F51"/>
    <w:rsid w:val="00A4439A"/>
    <w:rsid w:val="00A50929"/>
    <w:rsid w:val="00A52EEB"/>
    <w:rsid w:val="00A53C53"/>
    <w:rsid w:val="00A54BCB"/>
    <w:rsid w:val="00A55343"/>
    <w:rsid w:val="00A575F2"/>
    <w:rsid w:val="00A6311B"/>
    <w:rsid w:val="00A63D46"/>
    <w:rsid w:val="00A66928"/>
    <w:rsid w:val="00A6772D"/>
    <w:rsid w:val="00A74276"/>
    <w:rsid w:val="00A74A05"/>
    <w:rsid w:val="00A75026"/>
    <w:rsid w:val="00A76B9D"/>
    <w:rsid w:val="00A77FFA"/>
    <w:rsid w:val="00A807FF"/>
    <w:rsid w:val="00A81490"/>
    <w:rsid w:val="00A83E06"/>
    <w:rsid w:val="00A854EA"/>
    <w:rsid w:val="00A8755E"/>
    <w:rsid w:val="00A92EE9"/>
    <w:rsid w:val="00A939E6"/>
    <w:rsid w:val="00A9421F"/>
    <w:rsid w:val="00A95229"/>
    <w:rsid w:val="00A96361"/>
    <w:rsid w:val="00A9679E"/>
    <w:rsid w:val="00AA0A7B"/>
    <w:rsid w:val="00AA13C5"/>
    <w:rsid w:val="00AA30E0"/>
    <w:rsid w:val="00AA4F67"/>
    <w:rsid w:val="00AA5762"/>
    <w:rsid w:val="00AA7028"/>
    <w:rsid w:val="00AA7649"/>
    <w:rsid w:val="00AB1031"/>
    <w:rsid w:val="00AB342E"/>
    <w:rsid w:val="00AB390A"/>
    <w:rsid w:val="00AB3940"/>
    <w:rsid w:val="00AB4BE1"/>
    <w:rsid w:val="00AB619E"/>
    <w:rsid w:val="00AB7F55"/>
    <w:rsid w:val="00AC0FD1"/>
    <w:rsid w:val="00AC11B8"/>
    <w:rsid w:val="00AC2603"/>
    <w:rsid w:val="00AD1146"/>
    <w:rsid w:val="00AD781A"/>
    <w:rsid w:val="00AE0970"/>
    <w:rsid w:val="00AE19D9"/>
    <w:rsid w:val="00AE3537"/>
    <w:rsid w:val="00AE3811"/>
    <w:rsid w:val="00AE5F6E"/>
    <w:rsid w:val="00AE74DF"/>
    <w:rsid w:val="00AE77A4"/>
    <w:rsid w:val="00AF143B"/>
    <w:rsid w:val="00AF1931"/>
    <w:rsid w:val="00AF24A5"/>
    <w:rsid w:val="00AF264A"/>
    <w:rsid w:val="00AF4CEE"/>
    <w:rsid w:val="00B03010"/>
    <w:rsid w:val="00B06720"/>
    <w:rsid w:val="00B10F71"/>
    <w:rsid w:val="00B14BAF"/>
    <w:rsid w:val="00B15198"/>
    <w:rsid w:val="00B15C6D"/>
    <w:rsid w:val="00B17B5F"/>
    <w:rsid w:val="00B24FE4"/>
    <w:rsid w:val="00B2512F"/>
    <w:rsid w:val="00B31F00"/>
    <w:rsid w:val="00B32079"/>
    <w:rsid w:val="00B35DFA"/>
    <w:rsid w:val="00B3726C"/>
    <w:rsid w:val="00B37F6A"/>
    <w:rsid w:val="00B4103F"/>
    <w:rsid w:val="00B4589F"/>
    <w:rsid w:val="00B45B0F"/>
    <w:rsid w:val="00B46731"/>
    <w:rsid w:val="00B514B4"/>
    <w:rsid w:val="00B5246C"/>
    <w:rsid w:val="00B525D8"/>
    <w:rsid w:val="00B617BB"/>
    <w:rsid w:val="00B63CC6"/>
    <w:rsid w:val="00B64C3E"/>
    <w:rsid w:val="00B65624"/>
    <w:rsid w:val="00B67067"/>
    <w:rsid w:val="00B7257B"/>
    <w:rsid w:val="00B745FE"/>
    <w:rsid w:val="00B774BA"/>
    <w:rsid w:val="00B7782A"/>
    <w:rsid w:val="00B843EB"/>
    <w:rsid w:val="00B86A7C"/>
    <w:rsid w:val="00B86B75"/>
    <w:rsid w:val="00B90B05"/>
    <w:rsid w:val="00B91013"/>
    <w:rsid w:val="00B91462"/>
    <w:rsid w:val="00B92816"/>
    <w:rsid w:val="00B93684"/>
    <w:rsid w:val="00B950CF"/>
    <w:rsid w:val="00BA42C5"/>
    <w:rsid w:val="00BA455C"/>
    <w:rsid w:val="00BB1A0E"/>
    <w:rsid w:val="00BB1AF9"/>
    <w:rsid w:val="00BB5FED"/>
    <w:rsid w:val="00BB6B73"/>
    <w:rsid w:val="00BB6D3E"/>
    <w:rsid w:val="00BC0F38"/>
    <w:rsid w:val="00BC470A"/>
    <w:rsid w:val="00BC48D5"/>
    <w:rsid w:val="00BC4F4F"/>
    <w:rsid w:val="00BD1F0E"/>
    <w:rsid w:val="00BD353D"/>
    <w:rsid w:val="00BD3E63"/>
    <w:rsid w:val="00BD4F6D"/>
    <w:rsid w:val="00BD7BA5"/>
    <w:rsid w:val="00BE028D"/>
    <w:rsid w:val="00BE12AB"/>
    <w:rsid w:val="00BE1463"/>
    <w:rsid w:val="00BE1640"/>
    <w:rsid w:val="00BE3C65"/>
    <w:rsid w:val="00BE4AF8"/>
    <w:rsid w:val="00BF066E"/>
    <w:rsid w:val="00BF13BF"/>
    <w:rsid w:val="00BF1D1D"/>
    <w:rsid w:val="00BF5E4F"/>
    <w:rsid w:val="00BF5FA4"/>
    <w:rsid w:val="00BF7DFC"/>
    <w:rsid w:val="00C01D54"/>
    <w:rsid w:val="00C044B5"/>
    <w:rsid w:val="00C06449"/>
    <w:rsid w:val="00C06FDD"/>
    <w:rsid w:val="00C1155D"/>
    <w:rsid w:val="00C147C6"/>
    <w:rsid w:val="00C243AB"/>
    <w:rsid w:val="00C249CC"/>
    <w:rsid w:val="00C24BD0"/>
    <w:rsid w:val="00C271F6"/>
    <w:rsid w:val="00C27880"/>
    <w:rsid w:val="00C340F4"/>
    <w:rsid w:val="00C35C10"/>
    <w:rsid w:val="00C36279"/>
    <w:rsid w:val="00C4031B"/>
    <w:rsid w:val="00C409F9"/>
    <w:rsid w:val="00C44B2F"/>
    <w:rsid w:val="00C50020"/>
    <w:rsid w:val="00C508FE"/>
    <w:rsid w:val="00C51E41"/>
    <w:rsid w:val="00C52C8B"/>
    <w:rsid w:val="00C61D02"/>
    <w:rsid w:val="00C67DD0"/>
    <w:rsid w:val="00C70C0D"/>
    <w:rsid w:val="00C72CD9"/>
    <w:rsid w:val="00C757D1"/>
    <w:rsid w:val="00C7794E"/>
    <w:rsid w:val="00C77F11"/>
    <w:rsid w:val="00C8328B"/>
    <w:rsid w:val="00C84490"/>
    <w:rsid w:val="00C8527C"/>
    <w:rsid w:val="00C85786"/>
    <w:rsid w:val="00C94505"/>
    <w:rsid w:val="00C953B3"/>
    <w:rsid w:val="00CA618E"/>
    <w:rsid w:val="00CB1473"/>
    <w:rsid w:val="00CB62FC"/>
    <w:rsid w:val="00CC385A"/>
    <w:rsid w:val="00CC4D8D"/>
    <w:rsid w:val="00CC51EC"/>
    <w:rsid w:val="00CC66AA"/>
    <w:rsid w:val="00CD0CC5"/>
    <w:rsid w:val="00CD1405"/>
    <w:rsid w:val="00CD7D76"/>
    <w:rsid w:val="00CE1FE7"/>
    <w:rsid w:val="00CE29A0"/>
    <w:rsid w:val="00CF1EF6"/>
    <w:rsid w:val="00CF2B83"/>
    <w:rsid w:val="00CF3038"/>
    <w:rsid w:val="00CF4CFE"/>
    <w:rsid w:val="00CF5D91"/>
    <w:rsid w:val="00CF775A"/>
    <w:rsid w:val="00D06EA6"/>
    <w:rsid w:val="00D0751F"/>
    <w:rsid w:val="00D07D43"/>
    <w:rsid w:val="00D10E30"/>
    <w:rsid w:val="00D12069"/>
    <w:rsid w:val="00D240D2"/>
    <w:rsid w:val="00D32990"/>
    <w:rsid w:val="00D340BF"/>
    <w:rsid w:val="00D345B1"/>
    <w:rsid w:val="00D413F8"/>
    <w:rsid w:val="00D42336"/>
    <w:rsid w:val="00D42980"/>
    <w:rsid w:val="00D43E58"/>
    <w:rsid w:val="00D44F46"/>
    <w:rsid w:val="00D45DE3"/>
    <w:rsid w:val="00D53989"/>
    <w:rsid w:val="00D55DCD"/>
    <w:rsid w:val="00D60CBC"/>
    <w:rsid w:val="00D77A75"/>
    <w:rsid w:val="00D838F6"/>
    <w:rsid w:val="00D85014"/>
    <w:rsid w:val="00D85DB3"/>
    <w:rsid w:val="00D86E79"/>
    <w:rsid w:val="00D905EF"/>
    <w:rsid w:val="00D93CAB"/>
    <w:rsid w:val="00DA2BE1"/>
    <w:rsid w:val="00DA7B05"/>
    <w:rsid w:val="00DB1502"/>
    <w:rsid w:val="00DB533E"/>
    <w:rsid w:val="00DB6486"/>
    <w:rsid w:val="00DB655F"/>
    <w:rsid w:val="00DC254C"/>
    <w:rsid w:val="00DC5608"/>
    <w:rsid w:val="00DC66EC"/>
    <w:rsid w:val="00DD547F"/>
    <w:rsid w:val="00DE05F1"/>
    <w:rsid w:val="00DE14AE"/>
    <w:rsid w:val="00DE2A70"/>
    <w:rsid w:val="00DE2D10"/>
    <w:rsid w:val="00DE5BB5"/>
    <w:rsid w:val="00DF08A6"/>
    <w:rsid w:val="00DF0DBC"/>
    <w:rsid w:val="00DF2364"/>
    <w:rsid w:val="00DF61D7"/>
    <w:rsid w:val="00E0072F"/>
    <w:rsid w:val="00E07367"/>
    <w:rsid w:val="00E1017B"/>
    <w:rsid w:val="00E150C0"/>
    <w:rsid w:val="00E2389B"/>
    <w:rsid w:val="00E26DD7"/>
    <w:rsid w:val="00E27DC4"/>
    <w:rsid w:val="00E302D7"/>
    <w:rsid w:val="00E315A3"/>
    <w:rsid w:val="00E323E3"/>
    <w:rsid w:val="00E32654"/>
    <w:rsid w:val="00E348EE"/>
    <w:rsid w:val="00E352C0"/>
    <w:rsid w:val="00E3568F"/>
    <w:rsid w:val="00E36584"/>
    <w:rsid w:val="00E366D2"/>
    <w:rsid w:val="00E36789"/>
    <w:rsid w:val="00E37084"/>
    <w:rsid w:val="00E40A8C"/>
    <w:rsid w:val="00E40BBE"/>
    <w:rsid w:val="00E514F8"/>
    <w:rsid w:val="00E52B2B"/>
    <w:rsid w:val="00E52BC3"/>
    <w:rsid w:val="00E555F3"/>
    <w:rsid w:val="00E64E7A"/>
    <w:rsid w:val="00E652BF"/>
    <w:rsid w:val="00E701F5"/>
    <w:rsid w:val="00E70C4B"/>
    <w:rsid w:val="00E71DE3"/>
    <w:rsid w:val="00E73A32"/>
    <w:rsid w:val="00E801A9"/>
    <w:rsid w:val="00E84094"/>
    <w:rsid w:val="00E841D1"/>
    <w:rsid w:val="00E85E86"/>
    <w:rsid w:val="00E91B69"/>
    <w:rsid w:val="00E94086"/>
    <w:rsid w:val="00E94E59"/>
    <w:rsid w:val="00EB3591"/>
    <w:rsid w:val="00EB473B"/>
    <w:rsid w:val="00EC405B"/>
    <w:rsid w:val="00EC48B4"/>
    <w:rsid w:val="00EC4D3E"/>
    <w:rsid w:val="00EC516D"/>
    <w:rsid w:val="00EC74B5"/>
    <w:rsid w:val="00ED16DA"/>
    <w:rsid w:val="00ED3AA7"/>
    <w:rsid w:val="00EE2B5D"/>
    <w:rsid w:val="00EE68F9"/>
    <w:rsid w:val="00EF099E"/>
    <w:rsid w:val="00EF0A59"/>
    <w:rsid w:val="00EF216D"/>
    <w:rsid w:val="00F00D44"/>
    <w:rsid w:val="00F00E95"/>
    <w:rsid w:val="00F0349A"/>
    <w:rsid w:val="00F04FDC"/>
    <w:rsid w:val="00F055FB"/>
    <w:rsid w:val="00F161DD"/>
    <w:rsid w:val="00F16F32"/>
    <w:rsid w:val="00F2166F"/>
    <w:rsid w:val="00F26003"/>
    <w:rsid w:val="00F27892"/>
    <w:rsid w:val="00F3644E"/>
    <w:rsid w:val="00F3738F"/>
    <w:rsid w:val="00F42FD5"/>
    <w:rsid w:val="00F45390"/>
    <w:rsid w:val="00F50161"/>
    <w:rsid w:val="00F541C4"/>
    <w:rsid w:val="00F55904"/>
    <w:rsid w:val="00F573A8"/>
    <w:rsid w:val="00F57592"/>
    <w:rsid w:val="00F617E0"/>
    <w:rsid w:val="00F708AE"/>
    <w:rsid w:val="00F709AB"/>
    <w:rsid w:val="00F72EF4"/>
    <w:rsid w:val="00F743D3"/>
    <w:rsid w:val="00F74608"/>
    <w:rsid w:val="00F75907"/>
    <w:rsid w:val="00F777A0"/>
    <w:rsid w:val="00F824FE"/>
    <w:rsid w:val="00F83C2A"/>
    <w:rsid w:val="00F85C2D"/>
    <w:rsid w:val="00F861CB"/>
    <w:rsid w:val="00F869F7"/>
    <w:rsid w:val="00F902E1"/>
    <w:rsid w:val="00F96E9B"/>
    <w:rsid w:val="00FA5976"/>
    <w:rsid w:val="00FB0BD3"/>
    <w:rsid w:val="00FB159B"/>
    <w:rsid w:val="00FB455A"/>
    <w:rsid w:val="00FB4A79"/>
    <w:rsid w:val="00FB528C"/>
    <w:rsid w:val="00FB5B94"/>
    <w:rsid w:val="00FB6E78"/>
    <w:rsid w:val="00FC0512"/>
    <w:rsid w:val="00FC2DFB"/>
    <w:rsid w:val="00FC5F0C"/>
    <w:rsid w:val="00FC794A"/>
    <w:rsid w:val="00FD1B1D"/>
    <w:rsid w:val="00FD2BBA"/>
    <w:rsid w:val="00FD37D2"/>
    <w:rsid w:val="00FD585A"/>
    <w:rsid w:val="00FD59FA"/>
    <w:rsid w:val="00FD7BAA"/>
    <w:rsid w:val="00FE00CD"/>
    <w:rsid w:val="00FF1190"/>
    <w:rsid w:val="00FF32FD"/>
    <w:rsid w:val="00FF61CA"/>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8D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1"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49"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59"/>
    <w:lsdException w:name="Table Theme" w:locked="1" w:semiHidden="1" w:unhideWhenUsed="1"/>
    <w:lsdException w:name="Placeholder Text" w:semiHidden="1" w:qFormat="1"/>
    <w:lsdException w:name="No Spacing" w:lock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qFormat="1"/>
    <w:lsdException w:name="Subtle Reference" w:locked="1" w:uiPriority="31" w:qFormat="1"/>
    <w:lsdException w:name="Intense Reference" w:locked="1"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B64B3"/>
    <w:pPr>
      <w:spacing w:after="200" w:line="280" w:lineRule="atLeast"/>
    </w:pPr>
    <w:rPr>
      <w:color w:val="000000" w:themeColor="text1"/>
      <w:sz w:val="22"/>
      <w:szCs w:val="22"/>
      <w:lang w:eastAsia="en-US"/>
    </w:rPr>
  </w:style>
  <w:style w:type="paragraph" w:styleId="Heading1">
    <w:name w:val="heading 1"/>
    <w:next w:val="BodyText1"/>
    <w:link w:val="Heading1Char"/>
    <w:uiPriority w:val="10"/>
    <w:qFormat/>
    <w:rsid w:val="00AE275F"/>
    <w:pPr>
      <w:keepNext/>
      <w:keepLines/>
      <w:pageBreakBefore/>
      <w:numPr>
        <w:numId w:val="1"/>
      </w:numPr>
      <w:spacing w:after="284" w:line="180" w:lineRule="auto"/>
      <w:ind w:left="709" w:hanging="709"/>
      <w:outlineLvl w:val="0"/>
    </w:pPr>
    <w:rPr>
      <w:rFonts w:ascii="Calibri" w:eastAsiaTheme="majorEastAsia" w:hAnsi="Calibri" w:cstheme="majorBidi"/>
      <w:bCs/>
      <w:color w:val="000000" w:themeColor="text1"/>
      <w:sz w:val="56"/>
      <w:szCs w:val="28"/>
      <w:lang w:eastAsia="en-US"/>
    </w:rPr>
  </w:style>
  <w:style w:type="paragraph" w:styleId="Heading2">
    <w:name w:val="heading 2"/>
    <w:next w:val="BodyText1"/>
    <w:link w:val="Heading2Char"/>
    <w:uiPriority w:val="11"/>
    <w:qFormat/>
    <w:rsid w:val="00250A35"/>
    <w:pPr>
      <w:keepNext/>
      <w:keepLines/>
      <w:spacing w:before="170" w:after="170"/>
      <w:outlineLvl w:val="1"/>
    </w:pPr>
    <w:rPr>
      <w:rFonts w:eastAsiaTheme="majorEastAsia" w:cstheme="majorBidi"/>
      <w:b/>
      <w:bCs/>
      <w:color w:val="FF7900"/>
      <w:sz w:val="34"/>
      <w:szCs w:val="26"/>
      <w:lang w:eastAsia="en-US"/>
    </w:rPr>
  </w:style>
  <w:style w:type="paragraph" w:styleId="Heading3">
    <w:name w:val="heading 3"/>
    <w:next w:val="Normal"/>
    <w:link w:val="Heading3Char"/>
    <w:uiPriority w:val="12"/>
    <w:qFormat/>
    <w:rsid w:val="00AE275F"/>
    <w:pPr>
      <w:keepNext/>
      <w:keepLines/>
      <w:spacing w:before="147" w:after="79"/>
      <w:outlineLvl w:val="2"/>
    </w:pPr>
    <w:rPr>
      <w:rFonts w:eastAsiaTheme="majorEastAsia" w:cstheme="majorBidi"/>
      <w:b/>
      <w:bCs/>
      <w:color w:val="DE3831"/>
      <w:sz w:val="28"/>
      <w:szCs w:val="22"/>
      <w:lang w:eastAsia="en-US"/>
    </w:rPr>
  </w:style>
  <w:style w:type="paragraph" w:styleId="Heading4">
    <w:name w:val="heading 4"/>
    <w:next w:val="BodyText1"/>
    <w:link w:val="Heading4Char"/>
    <w:uiPriority w:val="13"/>
    <w:qFormat/>
    <w:rsid w:val="00AE275F"/>
    <w:pPr>
      <w:keepNext/>
      <w:keepLines/>
      <w:spacing w:before="57" w:after="57"/>
      <w:ind w:right="200"/>
      <w:outlineLvl w:val="3"/>
    </w:pPr>
    <w:rPr>
      <w:rFonts w:eastAsiaTheme="majorEastAsia" w:cstheme="majorBidi"/>
      <w:b/>
      <w:bCs/>
      <w:iCs/>
      <w:color w:val="000000" w:themeColor="text1"/>
      <w:sz w:val="24"/>
      <w:szCs w:val="22"/>
      <w:lang w:eastAsia="en-US"/>
    </w:rPr>
  </w:style>
  <w:style w:type="paragraph" w:styleId="Heading5">
    <w:name w:val="heading 5"/>
    <w:basedOn w:val="Heading4"/>
    <w:next w:val="Normal"/>
    <w:link w:val="Heading5Char"/>
    <w:uiPriority w:val="9"/>
    <w:semiHidden/>
    <w:qFormat/>
    <w:locked/>
    <w:rsid w:val="00080E8B"/>
    <w:pPr>
      <w:outlineLvl w:val="4"/>
    </w:pPr>
  </w:style>
  <w:style w:type="paragraph" w:styleId="Heading6">
    <w:name w:val="heading 6"/>
    <w:basedOn w:val="Heading5"/>
    <w:next w:val="Normal"/>
    <w:link w:val="Heading6Char"/>
    <w:uiPriority w:val="9"/>
    <w:semiHidden/>
    <w:qFormat/>
    <w:locked/>
    <w:rsid w:val="00080E8B"/>
    <w:pPr>
      <w:outlineLvl w:val="5"/>
    </w:pPr>
  </w:style>
  <w:style w:type="paragraph" w:styleId="Heading7">
    <w:name w:val="heading 7"/>
    <w:basedOn w:val="Normal"/>
    <w:next w:val="Normal"/>
    <w:link w:val="Heading7Char"/>
    <w:uiPriority w:val="9"/>
    <w:semiHidden/>
    <w:qFormat/>
    <w:locked/>
    <w:rsid w:val="00080E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080E8B"/>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E215F"/>
    <w:rPr>
      <w:rFonts w:asciiTheme="minorHAnsi" w:eastAsiaTheme="majorEastAsia" w:hAnsiTheme="minorHAnsi" w:cstheme="majorBidi"/>
      <w:b/>
      <w:bCs/>
      <w:iCs/>
      <w:color w:val="000000" w:themeColor="text1"/>
      <w:sz w:val="24"/>
      <w:szCs w:val="22"/>
      <w:lang w:eastAsia="en-US"/>
    </w:rPr>
  </w:style>
  <w:style w:type="paragraph" w:customStyle="1" w:styleId="Referenceheading">
    <w:name w:val="Reference heading"/>
    <w:semiHidden/>
    <w:qFormat/>
    <w:rsid w:val="007A1F47"/>
    <w:pPr>
      <w:spacing w:after="284"/>
    </w:pPr>
    <w:rPr>
      <w:rFonts w:asciiTheme="minorHAnsi" w:eastAsiaTheme="majorEastAsia" w:hAnsiTheme="minorHAnsi" w:cstheme="majorBidi"/>
      <w:b/>
      <w:color w:val="000000" w:themeColor="text1"/>
      <w:sz w:val="44"/>
      <w:szCs w:val="28"/>
      <w:lang w:eastAsia="en-US"/>
    </w:rPr>
  </w:style>
  <w:style w:type="paragraph" w:styleId="Subtitle">
    <w:name w:val="Subtitle"/>
    <w:aliases w:val="Supplementary document title"/>
    <w:next w:val="Normal"/>
    <w:link w:val="SubtitleChar"/>
    <w:uiPriority w:val="99"/>
    <w:qFormat/>
    <w:rsid w:val="004B2707"/>
    <w:pPr>
      <w:numPr>
        <w:ilvl w:val="1"/>
      </w:numPr>
    </w:pPr>
    <w:rPr>
      <w:rFonts w:eastAsiaTheme="majorEastAsia" w:cstheme="majorBidi"/>
      <w:iCs/>
      <w:color w:val="000000" w:themeColor="text1"/>
      <w:spacing w:val="15"/>
      <w:sz w:val="44"/>
      <w:szCs w:val="24"/>
      <w:lang w:eastAsia="en-US"/>
    </w:rPr>
  </w:style>
  <w:style w:type="paragraph" w:customStyle="1" w:styleId="Notesourcetext">
    <w:name w:val="Note/source text"/>
    <w:next w:val="BodyText1"/>
    <w:link w:val="NotesourcetextChar"/>
    <w:autoRedefine/>
    <w:uiPriority w:val="25"/>
    <w:qFormat/>
    <w:rsid w:val="00777422"/>
    <w:pPr>
      <w:keepLines/>
      <w:spacing w:after="240"/>
      <w:contextualSpacing/>
    </w:pPr>
    <w:rPr>
      <w:rFonts w:ascii="Calibri" w:hAnsi="Calibri"/>
      <w:color w:val="000000" w:themeColor="text1"/>
      <w:sz w:val="18"/>
      <w:szCs w:val="22"/>
      <w:lang w:eastAsia="en-US"/>
    </w:rPr>
  </w:style>
  <w:style w:type="paragraph" w:styleId="Title">
    <w:name w:val="Title"/>
    <w:aliases w:val="Document title"/>
    <w:next w:val="Normal"/>
    <w:link w:val="TitleChar"/>
    <w:uiPriority w:val="49"/>
    <w:semiHidden/>
    <w:qFormat/>
    <w:rsid w:val="008C6165"/>
    <w:pPr>
      <w:spacing w:after="240"/>
      <w:ind w:right="397"/>
      <w:contextualSpacing/>
    </w:pPr>
    <w:rPr>
      <w:rFonts w:eastAsiaTheme="majorEastAsia" w:cstheme="majorBidi"/>
      <w:b/>
      <w:color w:val="000000" w:themeColor="text1"/>
      <w:spacing w:val="5"/>
      <w:kern w:val="28"/>
      <w:sz w:val="48"/>
      <w:szCs w:val="52"/>
      <w:lang w:eastAsia="en-US"/>
    </w:rPr>
  </w:style>
  <w:style w:type="character" w:customStyle="1" w:styleId="SubtitleChar">
    <w:name w:val="Subtitle Char"/>
    <w:aliases w:val="Supplementary document title Char"/>
    <w:basedOn w:val="DefaultParagraphFont"/>
    <w:link w:val="Subtitle"/>
    <w:uiPriority w:val="99"/>
    <w:rsid w:val="00607B5C"/>
    <w:rPr>
      <w:rFonts w:eastAsiaTheme="majorEastAsia" w:cstheme="majorBidi"/>
      <w:iCs/>
      <w:color w:val="000000" w:themeColor="text1"/>
      <w:spacing w:val="15"/>
      <w:sz w:val="44"/>
      <w:szCs w:val="24"/>
      <w:lang w:eastAsia="en-US"/>
    </w:rPr>
  </w:style>
  <w:style w:type="character" w:customStyle="1" w:styleId="TitleChar">
    <w:name w:val="Title Char"/>
    <w:aliases w:val="Document title Char"/>
    <w:basedOn w:val="DefaultParagraphFont"/>
    <w:link w:val="Title"/>
    <w:uiPriority w:val="49"/>
    <w:semiHidden/>
    <w:rsid w:val="008C6165"/>
    <w:rPr>
      <w:rFonts w:eastAsiaTheme="majorEastAsia" w:cstheme="majorBidi"/>
      <w:b/>
      <w:color w:val="000000" w:themeColor="text1"/>
      <w:spacing w:val="5"/>
      <w:kern w:val="28"/>
      <w:sz w:val="48"/>
      <w:szCs w:val="52"/>
      <w:lang w:eastAsia="en-US"/>
    </w:rPr>
  </w:style>
  <w:style w:type="character" w:customStyle="1" w:styleId="Heading1Char">
    <w:name w:val="Heading 1 Char"/>
    <w:basedOn w:val="DefaultParagraphFont"/>
    <w:link w:val="Heading1"/>
    <w:uiPriority w:val="10"/>
    <w:rsid w:val="00AE275F"/>
    <w:rPr>
      <w:rFonts w:ascii="Calibri" w:eastAsiaTheme="majorEastAsia" w:hAnsi="Calibri" w:cstheme="majorBidi"/>
      <w:bCs/>
      <w:color w:val="000000" w:themeColor="text1"/>
      <w:sz w:val="56"/>
      <w:szCs w:val="28"/>
      <w:lang w:eastAsia="en-US"/>
    </w:rPr>
  </w:style>
  <w:style w:type="character" w:customStyle="1" w:styleId="Heading2Char">
    <w:name w:val="Heading 2 Char"/>
    <w:basedOn w:val="DefaultParagraphFont"/>
    <w:link w:val="Heading2"/>
    <w:uiPriority w:val="11"/>
    <w:rsid w:val="00250A35"/>
    <w:rPr>
      <w:rFonts w:eastAsiaTheme="majorEastAsia" w:cstheme="majorBidi"/>
      <w:b/>
      <w:bCs/>
      <w:color w:val="FF7900"/>
      <w:sz w:val="34"/>
      <w:szCs w:val="26"/>
      <w:lang w:eastAsia="en-US"/>
    </w:rPr>
  </w:style>
  <w:style w:type="character" w:customStyle="1" w:styleId="Heading3Char">
    <w:name w:val="Heading 3 Char"/>
    <w:basedOn w:val="DefaultParagraphFont"/>
    <w:link w:val="Heading3"/>
    <w:uiPriority w:val="12"/>
    <w:rsid w:val="00AE275F"/>
    <w:rPr>
      <w:rFonts w:eastAsiaTheme="majorEastAsia" w:cstheme="majorBidi"/>
      <w:b/>
      <w:bCs/>
      <w:color w:val="DE3831"/>
      <w:sz w:val="28"/>
      <w:szCs w:val="22"/>
      <w:lang w:eastAsia="en-US"/>
    </w:rPr>
  </w:style>
  <w:style w:type="character" w:customStyle="1" w:styleId="Heading4Char">
    <w:name w:val="Heading 4 Char"/>
    <w:basedOn w:val="DefaultParagraphFont"/>
    <w:link w:val="Heading4"/>
    <w:uiPriority w:val="13"/>
    <w:rsid w:val="00AE275F"/>
    <w:rPr>
      <w:rFonts w:eastAsiaTheme="majorEastAsia" w:cstheme="majorBidi"/>
      <w:b/>
      <w:bCs/>
      <w:iCs/>
      <w:color w:val="000000" w:themeColor="text1"/>
      <w:sz w:val="24"/>
      <w:szCs w:val="22"/>
      <w:lang w:eastAsia="en-US"/>
    </w:rPr>
  </w:style>
  <w:style w:type="character" w:customStyle="1" w:styleId="Heading5Char">
    <w:name w:val="Heading 5 Char"/>
    <w:basedOn w:val="DefaultParagraphFont"/>
    <w:link w:val="Heading5"/>
    <w:uiPriority w:val="9"/>
    <w:semiHidden/>
    <w:rsid w:val="002E215F"/>
    <w:rPr>
      <w:rFonts w:asciiTheme="minorHAnsi" w:eastAsiaTheme="majorEastAsia" w:hAnsiTheme="minorHAnsi" w:cstheme="majorBidi"/>
      <w:b/>
      <w:bCs/>
      <w:iCs/>
      <w:color w:val="000000" w:themeColor="text1"/>
      <w:sz w:val="24"/>
      <w:szCs w:val="22"/>
      <w:lang w:eastAsia="en-US"/>
    </w:rPr>
  </w:style>
  <w:style w:type="paragraph" w:customStyle="1" w:styleId="Titlepageheading">
    <w:name w:val="Title page heading"/>
    <w:link w:val="TitlepageheadingChar"/>
    <w:uiPriority w:val="29"/>
    <w:qFormat/>
    <w:rsid w:val="004A6B39"/>
    <w:pPr>
      <w:tabs>
        <w:tab w:val="left" w:pos="1418"/>
      </w:tabs>
      <w:ind w:left="1418"/>
    </w:pPr>
    <w:rPr>
      <w:rFonts w:eastAsiaTheme="majorEastAsia" w:cstheme="majorBidi"/>
      <w:b/>
      <w:color w:val="000000" w:themeColor="text1"/>
      <w:spacing w:val="5"/>
      <w:kern w:val="28"/>
      <w:sz w:val="48"/>
      <w:szCs w:val="52"/>
      <w:lang w:eastAsia="en-US"/>
    </w:rPr>
  </w:style>
  <w:style w:type="paragraph" w:styleId="TOCHeading">
    <w:name w:val="TOC Heading"/>
    <w:next w:val="Normal"/>
    <w:uiPriority w:val="39"/>
    <w:qFormat/>
    <w:rsid w:val="00C05EF5"/>
    <w:pPr>
      <w:spacing w:before="600" w:after="284"/>
    </w:pPr>
    <w:rPr>
      <w:rFonts w:asciiTheme="minorHAnsi" w:eastAsiaTheme="majorEastAsia" w:hAnsiTheme="minorHAnsi" w:cstheme="minorHAnsi"/>
      <w:bCs/>
      <w:sz w:val="44"/>
      <w:szCs w:val="44"/>
      <w:lang w:val="en-US" w:eastAsia="ja-JP"/>
    </w:rPr>
  </w:style>
  <w:style w:type="character" w:customStyle="1" w:styleId="TitlepageheadingChar">
    <w:name w:val="Title page heading Char"/>
    <w:basedOn w:val="TitleChar"/>
    <w:link w:val="Titlepageheading"/>
    <w:uiPriority w:val="29"/>
    <w:rsid w:val="004A6B39"/>
    <w:rPr>
      <w:rFonts w:eastAsiaTheme="majorEastAsia" w:cstheme="majorBidi"/>
      <w:b/>
      <w:color w:val="000000" w:themeColor="text1"/>
      <w:spacing w:val="5"/>
      <w:kern w:val="28"/>
      <w:sz w:val="48"/>
      <w:szCs w:val="52"/>
      <w:lang w:eastAsia="en-US"/>
    </w:rPr>
  </w:style>
  <w:style w:type="paragraph" w:styleId="TOC1">
    <w:name w:val="toc 1"/>
    <w:basedOn w:val="TOC4"/>
    <w:next w:val="Normal"/>
    <w:autoRedefine/>
    <w:uiPriority w:val="39"/>
    <w:unhideWhenUsed/>
    <w:qFormat/>
    <w:rsid w:val="00823475"/>
    <w:rPr>
      <w:noProof/>
    </w:rPr>
  </w:style>
  <w:style w:type="paragraph" w:styleId="TOC2">
    <w:name w:val="toc 2"/>
    <w:basedOn w:val="Normal"/>
    <w:next w:val="Normal"/>
    <w:autoRedefine/>
    <w:uiPriority w:val="39"/>
    <w:unhideWhenUsed/>
    <w:qFormat/>
    <w:rsid w:val="000B5D75"/>
    <w:pPr>
      <w:tabs>
        <w:tab w:val="right" w:pos="426"/>
        <w:tab w:val="right" w:pos="9072"/>
      </w:tabs>
      <w:spacing w:after="100" w:line="240" w:lineRule="atLeast"/>
      <w:ind w:left="425"/>
    </w:pPr>
    <w:rPr>
      <w:noProof/>
      <w:szCs w:val="24"/>
    </w:rPr>
  </w:style>
  <w:style w:type="paragraph" w:styleId="TOC3">
    <w:name w:val="toc 3"/>
    <w:basedOn w:val="Normal"/>
    <w:next w:val="Normal"/>
    <w:autoRedefine/>
    <w:uiPriority w:val="39"/>
    <w:unhideWhenUsed/>
    <w:qFormat/>
    <w:rsid w:val="00286A96"/>
    <w:pPr>
      <w:tabs>
        <w:tab w:val="right" w:pos="9072"/>
      </w:tabs>
      <w:spacing w:after="100"/>
      <w:ind w:left="567" w:hanging="567"/>
    </w:pPr>
    <w:rPr>
      <w:noProof/>
      <w:sz w:val="24"/>
    </w:rPr>
  </w:style>
  <w:style w:type="character" w:styleId="Hyperlink">
    <w:name w:val="Hyperlink"/>
    <w:uiPriority w:val="99"/>
    <w:qFormat/>
    <w:rsid w:val="009706F0"/>
    <w:rPr>
      <w:color w:val="0000FF" w:themeColor="hyperlink"/>
      <w:u w:val="single"/>
    </w:rPr>
  </w:style>
  <w:style w:type="paragraph" w:styleId="BalloonText">
    <w:name w:val="Balloon Text"/>
    <w:basedOn w:val="Normal"/>
    <w:link w:val="BalloonTextChar"/>
    <w:uiPriority w:val="99"/>
    <w:unhideWhenUsed/>
    <w:qFormat/>
    <w:rsid w:val="00970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706F0"/>
    <w:rPr>
      <w:rFonts w:ascii="Tahoma" w:hAnsi="Tahoma" w:cs="Tahoma"/>
      <w:color w:val="000000" w:themeColor="text1"/>
      <w:sz w:val="16"/>
      <w:szCs w:val="16"/>
      <w:lang w:eastAsia="en-US"/>
    </w:rPr>
  </w:style>
  <w:style w:type="table" w:styleId="TableGrid">
    <w:name w:val="Table Grid"/>
    <w:basedOn w:val="TableNormal"/>
    <w:uiPriority w:val="59"/>
    <w:locked/>
    <w:rsid w:val="00134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text or caption"/>
    <w:basedOn w:val="Normal"/>
    <w:next w:val="Normal"/>
    <w:autoRedefine/>
    <w:uiPriority w:val="99"/>
    <w:unhideWhenUsed/>
    <w:qFormat/>
    <w:rsid w:val="00D0333C"/>
    <w:pPr>
      <w:keepNext/>
      <w:spacing w:after="120" w:line="240" w:lineRule="auto"/>
    </w:pPr>
    <w:rPr>
      <w:rFonts w:asciiTheme="minorHAnsi" w:hAnsiTheme="minorHAnsi"/>
      <w:b/>
      <w:bCs/>
      <w:color w:val="808080" w:themeColor="background1" w:themeShade="80"/>
      <w:sz w:val="24"/>
      <w:szCs w:val="18"/>
    </w:rPr>
  </w:style>
  <w:style w:type="paragraph" w:styleId="Header">
    <w:name w:val="header"/>
    <w:basedOn w:val="Normal"/>
    <w:link w:val="HeaderChar"/>
    <w:uiPriority w:val="99"/>
    <w:semiHidden/>
    <w:qFormat/>
    <w:rsid w:val="009441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215F"/>
    <w:rPr>
      <w:color w:val="000000" w:themeColor="text1"/>
      <w:sz w:val="22"/>
      <w:szCs w:val="22"/>
      <w:lang w:eastAsia="en-US"/>
    </w:rPr>
  </w:style>
  <w:style w:type="paragraph" w:styleId="Footer">
    <w:name w:val="footer"/>
    <w:basedOn w:val="Normal"/>
    <w:link w:val="FooterChar"/>
    <w:uiPriority w:val="99"/>
    <w:qFormat/>
    <w:rsid w:val="00944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15F"/>
    <w:rPr>
      <w:color w:val="000000" w:themeColor="text1"/>
      <w:sz w:val="22"/>
      <w:szCs w:val="22"/>
      <w:lang w:eastAsia="en-US"/>
    </w:rPr>
  </w:style>
  <w:style w:type="paragraph" w:styleId="TableofFigures">
    <w:name w:val="table of figures"/>
    <w:basedOn w:val="TOC1"/>
    <w:next w:val="Normal"/>
    <w:uiPriority w:val="99"/>
    <w:qFormat/>
    <w:rsid w:val="00826756"/>
    <w:pPr>
      <w:tabs>
        <w:tab w:val="clear" w:pos="425"/>
        <w:tab w:val="left" w:pos="851"/>
      </w:tabs>
      <w:ind w:left="1021" w:right="1276" w:hanging="1021"/>
    </w:pPr>
  </w:style>
  <w:style w:type="paragraph" w:styleId="Revision">
    <w:name w:val="Revision"/>
    <w:hidden/>
    <w:uiPriority w:val="99"/>
    <w:semiHidden/>
    <w:rsid w:val="0087380E"/>
    <w:rPr>
      <w:color w:val="000000" w:themeColor="text1"/>
      <w:szCs w:val="22"/>
      <w:lang w:eastAsia="en-US"/>
    </w:rPr>
  </w:style>
  <w:style w:type="character" w:styleId="IntenseEmphasis">
    <w:name w:val="Intense Emphasis"/>
    <w:aliases w:val="Bold Italics"/>
    <w:basedOn w:val="DefaultParagraphFont"/>
    <w:uiPriority w:val="99"/>
    <w:qFormat/>
    <w:rsid w:val="001519F0"/>
    <w:rPr>
      <w:rFonts w:ascii="Cambria" w:hAnsi="Cambria"/>
      <w:b/>
      <w:bCs/>
      <w:i/>
      <w:iCs/>
      <w:color w:val="auto"/>
    </w:rPr>
  </w:style>
  <w:style w:type="character" w:customStyle="1" w:styleId="Heading7Char">
    <w:name w:val="Heading 7 Char"/>
    <w:basedOn w:val="DefaultParagraphFont"/>
    <w:link w:val="Heading7"/>
    <w:uiPriority w:val="9"/>
    <w:semiHidden/>
    <w:rsid w:val="002E215F"/>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2E215F"/>
    <w:rPr>
      <w:rFonts w:asciiTheme="majorHAnsi" w:eastAsiaTheme="majorEastAsia" w:hAnsiTheme="majorHAnsi" w:cstheme="majorBidi"/>
      <w:color w:val="404040" w:themeColor="text1" w:themeTint="BF"/>
      <w:sz w:val="22"/>
      <w:lang w:eastAsia="en-US"/>
    </w:rPr>
  </w:style>
  <w:style w:type="character" w:styleId="SubtleEmphasis">
    <w:name w:val="Subtle Emphasis"/>
    <w:basedOn w:val="DefaultParagraphFont"/>
    <w:uiPriority w:val="19"/>
    <w:semiHidden/>
    <w:qFormat/>
    <w:locked/>
    <w:rsid w:val="00F77DD5"/>
    <w:rPr>
      <w:i/>
      <w:iCs/>
      <w:color w:val="808080" w:themeColor="text1" w:themeTint="7F"/>
    </w:rPr>
  </w:style>
  <w:style w:type="character" w:styleId="Emphasis">
    <w:name w:val="Emphasis"/>
    <w:basedOn w:val="DefaultParagraphFont"/>
    <w:uiPriority w:val="20"/>
    <w:qFormat/>
    <w:rsid w:val="00F77DD5"/>
    <w:rPr>
      <w:i/>
      <w:iCs/>
    </w:rPr>
  </w:style>
  <w:style w:type="character" w:styleId="Strong">
    <w:name w:val="Strong"/>
    <w:basedOn w:val="DefaultParagraphFont"/>
    <w:uiPriority w:val="99"/>
    <w:qFormat/>
    <w:rsid w:val="00FA2CAE"/>
    <w:rPr>
      <w:b/>
      <w:bCs/>
      <w:color w:val="auto"/>
    </w:rPr>
  </w:style>
  <w:style w:type="paragraph" w:styleId="Quote">
    <w:name w:val="Quote"/>
    <w:basedOn w:val="Normal"/>
    <w:next w:val="Normal"/>
    <w:link w:val="QuoteChar"/>
    <w:uiPriority w:val="99"/>
    <w:qFormat/>
    <w:rsid w:val="004C17A0"/>
    <w:pPr>
      <w:spacing w:before="120" w:after="120" w:line="240" w:lineRule="atLeast"/>
      <w:ind w:left="567" w:right="567"/>
    </w:pPr>
    <w:rPr>
      <w:rFonts w:ascii="Calibri" w:hAnsi="Calibri"/>
      <w:iCs/>
      <w:sz w:val="20"/>
    </w:rPr>
  </w:style>
  <w:style w:type="character" w:customStyle="1" w:styleId="QuoteChar">
    <w:name w:val="Quote Char"/>
    <w:basedOn w:val="DefaultParagraphFont"/>
    <w:link w:val="Quote"/>
    <w:uiPriority w:val="99"/>
    <w:rsid w:val="00607B5C"/>
    <w:rPr>
      <w:rFonts w:ascii="Calibri" w:hAnsi="Calibri"/>
      <w:iCs/>
      <w:color w:val="000000" w:themeColor="text1"/>
      <w:szCs w:val="22"/>
      <w:lang w:eastAsia="en-US"/>
    </w:rPr>
  </w:style>
  <w:style w:type="character" w:styleId="BookTitle">
    <w:name w:val="Book Title"/>
    <w:basedOn w:val="DefaultParagraphFont"/>
    <w:uiPriority w:val="33"/>
    <w:semiHidden/>
    <w:qFormat/>
    <w:rsid w:val="005277D9"/>
    <w:rPr>
      <w:b/>
      <w:bCs/>
      <w:smallCaps/>
      <w:spacing w:val="5"/>
    </w:rPr>
  </w:style>
  <w:style w:type="paragraph" w:customStyle="1" w:styleId="Figuretablesubtitle">
    <w:name w:val="Figure/table subtitle"/>
    <w:next w:val="BodyText1"/>
    <w:link w:val="FiguretablesubtitleChar"/>
    <w:uiPriority w:val="26"/>
    <w:qFormat/>
    <w:rsid w:val="00C30F38"/>
    <w:rPr>
      <w:rFonts w:ascii="Calibri" w:hAnsi="Calibri"/>
      <w:color w:val="000000" w:themeColor="text1"/>
      <w:sz w:val="21"/>
      <w:szCs w:val="21"/>
      <w:lang w:eastAsia="en-US"/>
    </w:rPr>
  </w:style>
  <w:style w:type="paragraph" w:styleId="NormalWeb">
    <w:name w:val="Normal (Web)"/>
    <w:basedOn w:val="Normal"/>
    <w:uiPriority w:val="99"/>
    <w:semiHidden/>
    <w:unhideWhenUsed/>
    <w:qFormat/>
    <w:rsid w:val="002E4825"/>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styleId="PlaceholderText">
    <w:name w:val="Placeholder Text"/>
    <w:basedOn w:val="DefaultParagraphFont"/>
    <w:uiPriority w:val="99"/>
    <w:semiHidden/>
    <w:qFormat/>
    <w:rsid w:val="002B0A63"/>
    <w:rPr>
      <w:color w:val="808080"/>
    </w:rPr>
  </w:style>
  <w:style w:type="paragraph" w:customStyle="1" w:styleId="Titlepageauthor">
    <w:name w:val="Title page author"/>
    <w:uiPriority w:val="29"/>
    <w:qFormat/>
    <w:rsid w:val="005B3D53"/>
    <w:pPr>
      <w:spacing w:before="120"/>
    </w:pPr>
    <w:rPr>
      <w:sz w:val="26"/>
      <w:szCs w:val="26"/>
      <w:lang w:eastAsia="en-US"/>
    </w:rPr>
  </w:style>
  <w:style w:type="paragraph" w:customStyle="1" w:styleId="Titlepagedate">
    <w:name w:val="Title page date"/>
    <w:uiPriority w:val="29"/>
    <w:qFormat/>
    <w:rsid w:val="004A0AF0"/>
    <w:pPr>
      <w:jc w:val="right"/>
    </w:pPr>
    <w:rPr>
      <w:rFonts w:ascii="Calibri" w:hAnsi="Calibri"/>
      <w:color w:val="000000" w:themeColor="text1"/>
      <w:sz w:val="22"/>
      <w:szCs w:val="22"/>
      <w:lang w:eastAsia="en-US"/>
    </w:rPr>
  </w:style>
  <w:style w:type="paragraph" w:customStyle="1" w:styleId="Titlepageversion">
    <w:name w:val="Title page version"/>
    <w:semiHidden/>
    <w:qFormat/>
    <w:rsid w:val="007A1F47"/>
    <w:pPr>
      <w:spacing w:line="600" w:lineRule="exact"/>
      <w:jc w:val="right"/>
    </w:pPr>
    <w:rPr>
      <w:color w:val="000000" w:themeColor="text1"/>
      <w:sz w:val="22"/>
      <w:szCs w:val="22"/>
      <w:lang w:eastAsia="en-US"/>
    </w:rPr>
  </w:style>
  <w:style w:type="table" w:customStyle="1" w:styleId="ABAREStable">
    <w:name w:val="ABARES table"/>
    <w:basedOn w:val="TableNormal"/>
    <w:uiPriority w:val="99"/>
    <w:rsid w:val="00651D88"/>
    <w:pPr>
      <w:spacing w:before="60" w:after="60"/>
      <w:jc w:val="right"/>
    </w:pPr>
    <w:rPr>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Glossary">
    <w:name w:val="Glossary"/>
    <w:basedOn w:val="BodyText1"/>
    <w:link w:val="GlossaryChar"/>
    <w:uiPriority w:val="31"/>
    <w:qFormat/>
    <w:rsid w:val="00497BC2"/>
    <w:pPr>
      <w:tabs>
        <w:tab w:val="left" w:pos="1418"/>
      </w:tabs>
    </w:pPr>
  </w:style>
  <w:style w:type="character" w:customStyle="1" w:styleId="Dummytext">
    <w:name w:val="Dummy text"/>
    <w:uiPriority w:val="64"/>
    <w:qFormat/>
    <w:rsid w:val="004153BA"/>
    <w:rPr>
      <w:color w:val="auto"/>
      <w:u w:val="none"/>
      <w:bdr w:val="none" w:sz="0" w:space="0" w:color="auto"/>
      <w:shd w:val="clear" w:color="auto" w:fill="FFFF00"/>
    </w:rPr>
  </w:style>
  <w:style w:type="character" w:customStyle="1" w:styleId="GlossaryChar">
    <w:name w:val="Glossary Char"/>
    <w:basedOn w:val="DefaultParagraphFont"/>
    <w:link w:val="Glossary"/>
    <w:uiPriority w:val="31"/>
    <w:rsid w:val="00497BC2"/>
    <w:rPr>
      <w:color w:val="000000" w:themeColor="text1"/>
      <w:sz w:val="22"/>
      <w:szCs w:val="22"/>
      <w:lang w:eastAsia="en-US"/>
    </w:rPr>
  </w:style>
  <w:style w:type="character" w:customStyle="1" w:styleId="NotesourcetextChar">
    <w:name w:val="Note/source text Char"/>
    <w:basedOn w:val="DefaultParagraphFont"/>
    <w:link w:val="Notesourcetext"/>
    <w:uiPriority w:val="25"/>
    <w:rsid w:val="00777422"/>
    <w:rPr>
      <w:rFonts w:ascii="Calibri" w:hAnsi="Calibri"/>
      <w:color w:val="000000" w:themeColor="text1"/>
      <w:sz w:val="18"/>
      <w:szCs w:val="22"/>
      <w:lang w:eastAsia="en-US"/>
    </w:rPr>
  </w:style>
  <w:style w:type="character" w:customStyle="1" w:styleId="FiguretablesubtitleChar">
    <w:name w:val="Figure/table subtitle Char"/>
    <w:basedOn w:val="DefaultParagraphFont"/>
    <w:link w:val="Figuretablesubtitle"/>
    <w:uiPriority w:val="26"/>
    <w:rsid w:val="00C30F38"/>
    <w:rPr>
      <w:rFonts w:ascii="Calibri" w:hAnsi="Calibri"/>
      <w:color w:val="000000" w:themeColor="text1"/>
      <w:sz w:val="21"/>
      <w:szCs w:val="21"/>
      <w:lang w:eastAsia="en-US"/>
    </w:rPr>
  </w:style>
  <w:style w:type="paragraph" w:styleId="NoSpacing">
    <w:name w:val="No Spacing"/>
    <w:uiPriority w:val="99"/>
    <w:qFormat/>
    <w:rsid w:val="00A1089C"/>
    <w:pPr>
      <w:keepNext/>
    </w:pPr>
    <w:rPr>
      <w:color w:val="000000" w:themeColor="text1"/>
      <w:szCs w:val="22"/>
      <w:lang w:eastAsia="en-US"/>
    </w:rPr>
  </w:style>
  <w:style w:type="paragraph" w:styleId="ListParagraph">
    <w:name w:val="List Paragraph"/>
    <w:basedOn w:val="Normal"/>
    <w:link w:val="ListParagraphChar"/>
    <w:uiPriority w:val="34"/>
    <w:qFormat/>
    <w:rsid w:val="008C688F"/>
    <w:pPr>
      <w:spacing w:line="240" w:lineRule="auto"/>
      <w:ind w:left="720"/>
    </w:pPr>
  </w:style>
  <w:style w:type="numbering" w:customStyle="1" w:styleId="ABARESbulletedlist">
    <w:name w:val="ABARES bulleted list"/>
    <w:uiPriority w:val="99"/>
    <w:rsid w:val="00567A81"/>
    <w:pPr>
      <w:numPr>
        <w:numId w:val="2"/>
      </w:numPr>
    </w:pPr>
  </w:style>
  <w:style w:type="paragraph" w:styleId="FootnoteText">
    <w:name w:val="footnote text"/>
    <w:basedOn w:val="Normal"/>
    <w:link w:val="FootnoteTextChar"/>
    <w:uiPriority w:val="99"/>
    <w:semiHidden/>
    <w:unhideWhenUsed/>
    <w:qFormat/>
    <w:rsid w:val="00F933AE"/>
    <w:pPr>
      <w:spacing w:after="0" w:line="240" w:lineRule="auto"/>
    </w:pPr>
    <w:rPr>
      <w:szCs w:val="20"/>
    </w:rPr>
  </w:style>
  <w:style w:type="character" w:customStyle="1" w:styleId="FootnoteTextChar">
    <w:name w:val="Footnote Text Char"/>
    <w:basedOn w:val="DefaultParagraphFont"/>
    <w:link w:val="FootnoteText"/>
    <w:uiPriority w:val="99"/>
    <w:semiHidden/>
    <w:rsid w:val="00F933AE"/>
    <w:rPr>
      <w:color w:val="000000" w:themeColor="text1"/>
      <w:lang w:eastAsia="en-US"/>
    </w:rPr>
  </w:style>
  <w:style w:type="character" w:styleId="FootnoteReference">
    <w:name w:val="footnote reference"/>
    <w:basedOn w:val="DefaultParagraphFont"/>
    <w:uiPriority w:val="99"/>
    <w:semiHidden/>
    <w:unhideWhenUsed/>
    <w:qFormat/>
    <w:rsid w:val="00F933AE"/>
    <w:rPr>
      <w:vertAlign w:val="superscript"/>
    </w:rPr>
  </w:style>
  <w:style w:type="character" w:customStyle="1" w:styleId="InlineQuote">
    <w:name w:val="Inline Quote"/>
    <w:basedOn w:val="QuoteChar"/>
    <w:uiPriority w:val="1"/>
    <w:semiHidden/>
    <w:qFormat/>
    <w:rsid w:val="008F3B08"/>
    <w:rPr>
      <w:rFonts w:ascii="Calibri" w:hAnsi="Calibri"/>
      <w:i/>
      <w:iCs/>
      <w:color w:val="auto"/>
      <w:szCs w:val="22"/>
      <w:lang w:eastAsia="en-US"/>
    </w:rPr>
  </w:style>
  <w:style w:type="numbering" w:customStyle="1" w:styleId="ABARESnumberedlist">
    <w:name w:val="ABARES numbered list"/>
    <w:basedOn w:val="NoList"/>
    <w:uiPriority w:val="99"/>
    <w:rsid w:val="00567A81"/>
    <w:pPr>
      <w:numPr>
        <w:numId w:val="3"/>
      </w:numPr>
    </w:pPr>
  </w:style>
  <w:style w:type="table" w:customStyle="1" w:styleId="ABAREStableleftalign">
    <w:name w:val="ABARES table (left align)"/>
    <w:basedOn w:val="ABAREStable"/>
    <w:uiPriority w:val="99"/>
    <w:rsid w:val="000F575B"/>
    <w:pPr>
      <w:jc w:val="left"/>
    </w:pPr>
    <w:tblPr/>
    <w:tblStylePr w:type="firstRow">
      <w:rPr>
        <w:b/>
      </w:rPr>
    </w:tblStylePr>
    <w:tblStylePr w:type="firstCol">
      <w:pPr>
        <w:wordWrap/>
        <w:jc w:val="left"/>
      </w:pPr>
    </w:tblStylePr>
  </w:style>
  <w:style w:type="table" w:customStyle="1" w:styleId="ABAREStablecenteralign">
    <w:name w:val="ABARES table (center align)"/>
    <w:basedOn w:val="ABAREStable"/>
    <w:rsid w:val="001C0F85"/>
    <w:pPr>
      <w:jc w:val="center"/>
    </w:pPr>
    <w:tblPr/>
    <w:tblStylePr w:type="firstRow">
      <w:rPr>
        <w:b/>
      </w:rPr>
    </w:tblStylePr>
    <w:tblStylePr w:type="firstCol">
      <w:pPr>
        <w:wordWrap/>
        <w:jc w:val="left"/>
      </w:pPr>
      <w:rPr>
        <w:rFonts w:ascii="MyriadPro-Light" w:hAnsi="MyriadPro-Light"/>
        <w:sz w:val="19"/>
      </w:rPr>
      <w:tblPr/>
      <w:tcPr>
        <w:noWrap/>
      </w:tcPr>
    </w:tblStylePr>
  </w:style>
  <w:style w:type="character" w:customStyle="1" w:styleId="Superscript">
    <w:name w:val="Superscript"/>
    <w:uiPriority w:val="19"/>
    <w:qFormat/>
    <w:rsid w:val="00251D1C"/>
    <w:rPr>
      <w:vertAlign w:val="superscript"/>
    </w:rPr>
  </w:style>
  <w:style w:type="character" w:customStyle="1" w:styleId="Subscript">
    <w:name w:val="Subscript"/>
    <w:uiPriority w:val="19"/>
    <w:qFormat/>
    <w:rsid w:val="00251D1C"/>
    <w:rPr>
      <w:vertAlign w:val="subscript"/>
    </w:rPr>
  </w:style>
  <w:style w:type="paragraph" w:customStyle="1" w:styleId="Heading1unnumberedchapter">
    <w:name w:val="Heading 1  (unnumbered chapter)"/>
    <w:next w:val="BodyText1"/>
    <w:link w:val="Heading1unnumberedchapterChar"/>
    <w:uiPriority w:val="10"/>
    <w:qFormat/>
    <w:rsid w:val="000921E6"/>
    <w:pPr>
      <w:keepNext/>
      <w:keepLines/>
      <w:pageBreakBefore/>
      <w:spacing w:after="284" w:line="180" w:lineRule="auto"/>
      <w:outlineLvl w:val="0"/>
    </w:pPr>
    <w:rPr>
      <w:rFonts w:asciiTheme="minorHAnsi" w:hAnsiTheme="minorHAnsi"/>
      <w:color w:val="000000" w:themeColor="text1"/>
      <w:sz w:val="56"/>
      <w:szCs w:val="22"/>
      <w:lang w:eastAsia="en-US"/>
    </w:rPr>
  </w:style>
  <w:style w:type="character" w:customStyle="1" w:styleId="Heading1unnumberedchapterChar">
    <w:name w:val="Heading 1  (unnumbered chapter) Char"/>
    <w:basedOn w:val="DefaultParagraphFont"/>
    <w:link w:val="Heading1unnumberedchapter"/>
    <w:uiPriority w:val="10"/>
    <w:rsid w:val="000921E6"/>
    <w:rPr>
      <w:rFonts w:asciiTheme="minorHAnsi" w:hAnsiTheme="minorHAnsi"/>
      <w:color w:val="000000" w:themeColor="text1"/>
      <w:sz w:val="56"/>
      <w:szCs w:val="22"/>
      <w:lang w:eastAsia="en-US"/>
    </w:rPr>
  </w:style>
  <w:style w:type="character" w:customStyle="1" w:styleId="Intextreference">
    <w:name w:val="Intext reference"/>
    <w:basedOn w:val="DefaultParagraphFont"/>
    <w:uiPriority w:val="27"/>
    <w:qFormat/>
    <w:rsid w:val="001519F0"/>
    <w:rPr>
      <w:rFonts w:ascii="Cambria" w:hAnsi="Cambria"/>
      <w:color w:val="7F7F7F" w:themeColor="text1" w:themeTint="80"/>
    </w:rPr>
  </w:style>
  <w:style w:type="paragraph" w:styleId="ListBullet">
    <w:name w:val="List Bullet"/>
    <w:basedOn w:val="ListParagraph"/>
    <w:next w:val="ListParagraph"/>
    <w:link w:val="ListBulletChar"/>
    <w:uiPriority w:val="99"/>
    <w:qFormat/>
    <w:rsid w:val="0023676C"/>
    <w:pPr>
      <w:numPr>
        <w:numId w:val="5"/>
      </w:numPr>
      <w:spacing w:before="240" w:after="240"/>
    </w:pPr>
    <w:rPr>
      <w:color w:val="000000"/>
    </w:rPr>
  </w:style>
  <w:style w:type="character" w:customStyle="1" w:styleId="ListBulletChar">
    <w:name w:val="List Bullet Char"/>
    <w:basedOn w:val="DefaultParagraphFont"/>
    <w:link w:val="ListBullet"/>
    <w:uiPriority w:val="99"/>
    <w:rsid w:val="00607B5C"/>
    <w:rPr>
      <w:color w:val="000000"/>
      <w:sz w:val="22"/>
      <w:szCs w:val="22"/>
      <w:lang w:eastAsia="en-US"/>
    </w:rPr>
  </w:style>
  <w:style w:type="paragraph" w:styleId="List">
    <w:name w:val="List"/>
    <w:basedOn w:val="Normal"/>
    <w:uiPriority w:val="99"/>
    <w:unhideWhenUsed/>
    <w:qFormat/>
    <w:rsid w:val="002E215F"/>
    <w:pPr>
      <w:ind w:left="283" w:hanging="283"/>
      <w:contextualSpacing/>
    </w:pPr>
  </w:style>
  <w:style w:type="paragraph" w:styleId="ListNumber">
    <w:name w:val="List Number"/>
    <w:basedOn w:val="Normal"/>
    <w:uiPriority w:val="99"/>
    <w:unhideWhenUsed/>
    <w:qFormat/>
    <w:rsid w:val="002E215F"/>
    <w:pPr>
      <w:contextualSpacing/>
    </w:pPr>
  </w:style>
  <w:style w:type="paragraph" w:customStyle="1" w:styleId="Numberedlist-level1">
    <w:name w:val="Numbered list - level 1"/>
    <w:uiPriority w:val="20"/>
    <w:qFormat/>
    <w:rsid w:val="00567A81"/>
    <w:pPr>
      <w:numPr>
        <w:numId w:val="15"/>
      </w:numPr>
      <w:spacing w:before="200" w:after="200"/>
    </w:pPr>
    <w:rPr>
      <w:bCs/>
      <w:sz w:val="22"/>
      <w:szCs w:val="18"/>
      <w:lang w:eastAsia="en-US"/>
    </w:rPr>
  </w:style>
  <w:style w:type="paragraph" w:customStyle="1" w:styleId="Tabletext">
    <w:name w:val="Table text"/>
    <w:link w:val="TabletextChar"/>
    <w:uiPriority w:val="27"/>
    <w:qFormat/>
    <w:rsid w:val="00D141D2"/>
    <w:pPr>
      <w:spacing w:before="60" w:after="60"/>
    </w:pPr>
    <w:rPr>
      <w:color w:val="000000" w:themeColor="text1"/>
      <w:sz w:val="19"/>
      <w:szCs w:val="22"/>
      <w:lang w:eastAsia="en-US"/>
    </w:rPr>
  </w:style>
  <w:style w:type="table" w:customStyle="1" w:styleId="ABARESTableleftrightalign">
    <w:name w:val="ABARES Table (left/right align)"/>
    <w:basedOn w:val="ABAREStable"/>
    <w:uiPriority w:val="99"/>
    <w:rsid w:val="004325D5"/>
    <w:tblPr/>
    <w:tblStylePr w:type="firstRow">
      <w:rPr>
        <w:b/>
      </w:rPr>
    </w:tblStylePr>
    <w:tblStylePr w:type="firstCol">
      <w:pPr>
        <w:wordWrap/>
        <w:jc w:val="left"/>
      </w:pPr>
    </w:tblStylePr>
  </w:style>
  <w:style w:type="character" w:customStyle="1" w:styleId="ListParagraphChar">
    <w:name w:val="List Paragraph Char"/>
    <w:basedOn w:val="DefaultParagraphFont"/>
    <w:link w:val="ListParagraph"/>
    <w:uiPriority w:val="99"/>
    <w:rsid w:val="00607B5C"/>
    <w:rPr>
      <w:color w:val="000000" w:themeColor="text1"/>
      <w:sz w:val="22"/>
      <w:szCs w:val="22"/>
      <w:lang w:eastAsia="en-US"/>
    </w:rPr>
  </w:style>
  <w:style w:type="numbering" w:customStyle="1" w:styleId="bulletlist">
    <w:name w:val="bullet list"/>
    <w:basedOn w:val="NoList"/>
    <w:uiPriority w:val="99"/>
    <w:rsid w:val="00567A81"/>
    <w:pPr>
      <w:numPr>
        <w:numId w:val="4"/>
      </w:numPr>
    </w:pPr>
  </w:style>
  <w:style w:type="paragraph" w:customStyle="1" w:styleId="Bulletlist-level2">
    <w:name w:val="Bullet list - level 2"/>
    <w:uiPriority w:val="25"/>
    <w:qFormat/>
    <w:rsid w:val="00567A81"/>
    <w:pPr>
      <w:numPr>
        <w:ilvl w:val="1"/>
        <w:numId w:val="14"/>
      </w:numPr>
      <w:spacing w:before="120" w:after="120"/>
    </w:pPr>
    <w:rPr>
      <w:color w:val="000000" w:themeColor="text1"/>
      <w:sz w:val="22"/>
      <w:szCs w:val="22"/>
      <w:lang w:eastAsia="en-US"/>
    </w:rPr>
  </w:style>
  <w:style w:type="character" w:customStyle="1" w:styleId="Superscript-bold">
    <w:name w:val="Superscript - bold"/>
    <w:uiPriority w:val="19"/>
    <w:qFormat/>
    <w:rsid w:val="004E655B"/>
    <w:rPr>
      <w:b/>
      <w:bCs w:val="0"/>
      <w:color w:val="auto"/>
      <w:szCs w:val="36"/>
      <w:vertAlign w:val="superscript"/>
    </w:rPr>
  </w:style>
  <w:style w:type="character" w:customStyle="1" w:styleId="Subscript-bold">
    <w:name w:val="Subscript - bold"/>
    <w:uiPriority w:val="19"/>
    <w:qFormat/>
    <w:rsid w:val="00001B36"/>
    <w:rPr>
      <w:b/>
      <w:vertAlign w:val="subscript"/>
    </w:rPr>
  </w:style>
  <w:style w:type="paragraph" w:styleId="DocumentMap">
    <w:name w:val="Document Map"/>
    <w:basedOn w:val="Normal"/>
    <w:link w:val="DocumentMapChar"/>
    <w:uiPriority w:val="99"/>
    <w:unhideWhenUsed/>
    <w:qFormat/>
    <w:rsid w:val="00CC45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CC45FA"/>
    <w:rPr>
      <w:rFonts w:ascii="Tahoma" w:hAnsi="Tahoma" w:cs="Tahoma"/>
      <w:color w:val="000000" w:themeColor="text1"/>
      <w:sz w:val="16"/>
      <w:szCs w:val="16"/>
      <w:lang w:eastAsia="en-US"/>
    </w:rPr>
  </w:style>
  <w:style w:type="table" w:customStyle="1" w:styleId="Textboxtable">
    <w:name w:val="Text box table"/>
    <w:basedOn w:val="ABAREStable"/>
    <w:rsid w:val="000269D5"/>
    <w:pPr>
      <w:jc w:val="left"/>
    </w:pPr>
    <w:tblPr>
      <w:tblBorders>
        <w:top w:val="none" w:sz="0" w:space="0" w:color="auto"/>
        <w:left w:val="single" w:sz="4" w:space="0" w:color="auto"/>
        <w:bottom w:val="none" w:sz="0" w:space="0" w:color="auto"/>
        <w:right w:val="single" w:sz="4" w:space="0" w:color="auto"/>
      </w:tblBorders>
    </w:tblPr>
    <w:tblStylePr w:type="firstRow">
      <w:rPr>
        <w:b w:val="0"/>
      </w:rPr>
    </w:tblStylePr>
    <w:tblStylePr w:type="firstCol">
      <w:pPr>
        <w:wordWrap/>
        <w:jc w:val="left"/>
      </w:pPr>
    </w:tblStylePr>
  </w:style>
  <w:style w:type="character" w:styleId="FollowedHyperlink">
    <w:name w:val="FollowedHyperlink"/>
    <w:basedOn w:val="DefaultParagraphFont"/>
    <w:uiPriority w:val="99"/>
    <w:semiHidden/>
    <w:unhideWhenUsed/>
    <w:qFormat/>
    <w:rsid w:val="003570B1"/>
    <w:rPr>
      <w:color w:val="800080" w:themeColor="followedHyperlink"/>
      <w:u w:val="single"/>
    </w:rPr>
  </w:style>
  <w:style w:type="paragraph" w:styleId="CommentText">
    <w:name w:val="annotation text"/>
    <w:basedOn w:val="Normal"/>
    <w:link w:val="CommentTextChar"/>
    <w:uiPriority w:val="99"/>
    <w:unhideWhenUsed/>
    <w:qFormat/>
    <w:rsid w:val="00DB2ED2"/>
    <w:pPr>
      <w:spacing w:line="240" w:lineRule="auto"/>
    </w:pPr>
    <w:rPr>
      <w:sz w:val="20"/>
      <w:szCs w:val="20"/>
    </w:rPr>
  </w:style>
  <w:style w:type="character" w:customStyle="1" w:styleId="CommentTextChar">
    <w:name w:val="Comment Text Char"/>
    <w:basedOn w:val="DefaultParagraphFont"/>
    <w:link w:val="CommentText"/>
    <w:uiPriority w:val="99"/>
    <w:rsid w:val="00DB2ED2"/>
    <w:rPr>
      <w:color w:val="000000" w:themeColor="text1"/>
      <w:lang w:eastAsia="en-US"/>
    </w:rPr>
  </w:style>
  <w:style w:type="character" w:styleId="CommentReference">
    <w:name w:val="annotation reference"/>
    <w:basedOn w:val="DefaultParagraphFont"/>
    <w:uiPriority w:val="99"/>
    <w:semiHidden/>
    <w:unhideWhenUsed/>
    <w:qFormat/>
    <w:rsid w:val="00DB2ED2"/>
    <w:rPr>
      <w:sz w:val="16"/>
      <w:szCs w:val="16"/>
    </w:rPr>
  </w:style>
  <w:style w:type="character" w:customStyle="1" w:styleId="Italic">
    <w:name w:val="Italic"/>
    <w:uiPriority w:val="19"/>
    <w:qFormat/>
    <w:rsid w:val="000921E6"/>
    <w:rPr>
      <w:i/>
      <w:color w:val="auto"/>
    </w:rPr>
  </w:style>
  <w:style w:type="character" w:customStyle="1" w:styleId="Italicbold">
    <w:name w:val="Italic bold"/>
    <w:uiPriority w:val="19"/>
    <w:qFormat/>
    <w:rsid w:val="000921E6"/>
    <w:rPr>
      <w:b/>
      <w:i/>
      <w:color w:val="auto"/>
    </w:rPr>
  </w:style>
  <w:style w:type="paragraph" w:customStyle="1" w:styleId="Bulletlist-level1">
    <w:name w:val="Bullet list - level 1"/>
    <w:uiPriority w:val="24"/>
    <w:qFormat/>
    <w:rsid w:val="00567A81"/>
    <w:pPr>
      <w:numPr>
        <w:numId w:val="14"/>
      </w:numPr>
      <w:spacing w:before="120" w:after="120"/>
    </w:pPr>
    <w:rPr>
      <w:color w:val="000000"/>
      <w:sz w:val="22"/>
      <w:szCs w:val="22"/>
      <w:lang w:eastAsia="en-US"/>
    </w:rPr>
  </w:style>
  <w:style w:type="paragraph" w:customStyle="1" w:styleId="BodyText1">
    <w:name w:val="Body Text1"/>
    <w:uiPriority w:val="9"/>
    <w:qFormat/>
    <w:rsid w:val="00D3146D"/>
    <w:pPr>
      <w:spacing w:after="200" w:line="280" w:lineRule="atLeast"/>
    </w:pPr>
    <w:rPr>
      <w:color w:val="000000" w:themeColor="text1"/>
      <w:sz w:val="22"/>
      <w:szCs w:val="22"/>
      <w:lang w:eastAsia="en-US"/>
    </w:rPr>
  </w:style>
  <w:style w:type="paragraph" w:customStyle="1" w:styleId="Numberedlist-level2">
    <w:name w:val="Numbered list - level 2"/>
    <w:link w:val="Numberedlist-level2Char"/>
    <w:uiPriority w:val="21"/>
    <w:qFormat/>
    <w:rsid w:val="00567A81"/>
    <w:pPr>
      <w:numPr>
        <w:ilvl w:val="1"/>
        <w:numId w:val="15"/>
      </w:numPr>
      <w:spacing w:after="120" w:line="276" w:lineRule="auto"/>
      <w:contextualSpacing/>
    </w:pPr>
    <w:rPr>
      <w:rFonts w:asciiTheme="majorHAnsi" w:hAnsiTheme="majorHAnsi"/>
      <w:color w:val="000000" w:themeColor="text1"/>
      <w:sz w:val="22"/>
      <w:szCs w:val="22"/>
      <w:lang w:eastAsia="en-US"/>
    </w:rPr>
  </w:style>
  <w:style w:type="paragraph" w:customStyle="1" w:styleId="Numberedlist-level3">
    <w:name w:val="Numbered list - level 3"/>
    <w:link w:val="Numberedlist-level3Char"/>
    <w:uiPriority w:val="22"/>
    <w:qFormat/>
    <w:rsid w:val="00567A81"/>
    <w:pPr>
      <w:numPr>
        <w:ilvl w:val="2"/>
        <w:numId w:val="15"/>
      </w:numPr>
      <w:spacing w:after="120" w:line="276" w:lineRule="auto"/>
      <w:contextualSpacing/>
    </w:pPr>
    <w:rPr>
      <w:color w:val="000000" w:themeColor="text1"/>
      <w:sz w:val="22"/>
      <w:szCs w:val="22"/>
      <w:lang w:eastAsia="en-US"/>
    </w:rPr>
  </w:style>
  <w:style w:type="character" w:customStyle="1" w:styleId="Numberedlist-level2Char">
    <w:name w:val="Numbered list - level 2 Char"/>
    <w:basedOn w:val="ListParagraphChar"/>
    <w:link w:val="Numberedlist-level2"/>
    <w:uiPriority w:val="21"/>
    <w:rsid w:val="00567A81"/>
    <w:rPr>
      <w:rFonts w:asciiTheme="majorHAnsi" w:hAnsiTheme="majorHAnsi"/>
      <w:color w:val="000000" w:themeColor="text1"/>
      <w:sz w:val="22"/>
      <w:szCs w:val="22"/>
      <w:lang w:eastAsia="en-US"/>
    </w:rPr>
  </w:style>
  <w:style w:type="paragraph" w:customStyle="1" w:styleId="Quote-block">
    <w:name w:val="Quote - block"/>
    <w:next w:val="BodyText1"/>
    <w:uiPriority w:val="28"/>
    <w:qFormat/>
    <w:rsid w:val="00C05EF5"/>
    <w:pPr>
      <w:spacing w:before="120" w:after="120" w:line="240" w:lineRule="atLeast"/>
      <w:ind w:left="567" w:right="567"/>
    </w:pPr>
    <w:rPr>
      <w:iCs/>
      <w:color w:val="000000" w:themeColor="text1"/>
      <w:szCs w:val="22"/>
      <w:lang w:eastAsia="en-US"/>
    </w:rPr>
  </w:style>
  <w:style w:type="character" w:customStyle="1" w:styleId="Numberedlist-level3Char">
    <w:name w:val="Numbered list - level 3 Char"/>
    <w:basedOn w:val="ListParagraphChar"/>
    <w:link w:val="Numberedlist-level3"/>
    <w:uiPriority w:val="22"/>
    <w:rsid w:val="00567A81"/>
    <w:rPr>
      <w:color w:val="000000" w:themeColor="text1"/>
      <w:sz w:val="22"/>
      <w:szCs w:val="22"/>
      <w:lang w:eastAsia="en-US"/>
    </w:rPr>
  </w:style>
  <w:style w:type="character" w:customStyle="1" w:styleId="Bold">
    <w:name w:val="Bold"/>
    <w:uiPriority w:val="19"/>
    <w:qFormat/>
    <w:rsid w:val="004A0AF0"/>
    <w:rPr>
      <w:b/>
    </w:rPr>
  </w:style>
  <w:style w:type="paragraph" w:customStyle="1" w:styleId="Subtitlesupplementarydocumenttitle">
    <w:name w:val="Subtitle/supplementary document title"/>
    <w:next w:val="BodyText1"/>
    <w:uiPriority w:val="29"/>
    <w:qFormat/>
    <w:rsid w:val="00F91FB6"/>
    <w:pPr>
      <w:tabs>
        <w:tab w:val="left" w:pos="1418"/>
      </w:tabs>
      <w:ind w:left="1418"/>
    </w:pPr>
    <w:rPr>
      <w:rFonts w:ascii="Calibri" w:eastAsiaTheme="majorEastAsia" w:hAnsi="Calibri" w:cstheme="majorBidi"/>
      <w:iCs/>
      <w:color w:val="000000" w:themeColor="text1"/>
      <w:spacing w:val="15"/>
      <w:sz w:val="44"/>
      <w:szCs w:val="24"/>
      <w:lang w:eastAsia="en-US"/>
    </w:rPr>
  </w:style>
  <w:style w:type="paragraph" w:customStyle="1" w:styleId="Boxtext">
    <w:name w:val="Box text"/>
    <w:uiPriority w:val="99"/>
    <w:qFormat/>
    <w:rsid w:val="00D141D2"/>
    <w:pPr>
      <w:keepLines/>
      <w:spacing w:before="120" w:after="120"/>
    </w:pPr>
    <w:rPr>
      <w:color w:val="000000" w:themeColor="text1"/>
      <w:sz w:val="19"/>
      <w:szCs w:val="22"/>
      <w:lang w:eastAsia="en-US"/>
    </w:rPr>
  </w:style>
  <w:style w:type="paragraph" w:customStyle="1" w:styleId="Copyrightpageheading">
    <w:name w:val="Copyright page heading"/>
    <w:next w:val="BodyText"/>
    <w:link w:val="CopyrightpageheadingChar"/>
    <w:uiPriority w:val="99"/>
    <w:qFormat/>
    <w:rsid w:val="00C41DD6"/>
    <w:pPr>
      <w:spacing w:after="60"/>
    </w:pPr>
    <w:rPr>
      <w:b/>
      <w:color w:val="000000" w:themeColor="text1"/>
      <w:sz w:val="19"/>
      <w:szCs w:val="22"/>
      <w:lang w:eastAsia="en-US"/>
    </w:rPr>
  </w:style>
  <w:style w:type="character" w:customStyle="1" w:styleId="TabletextChar">
    <w:name w:val="Table text Char"/>
    <w:basedOn w:val="DefaultParagraphFont"/>
    <w:link w:val="Tabletext"/>
    <w:uiPriority w:val="27"/>
    <w:rsid w:val="00D141D2"/>
    <w:rPr>
      <w:color w:val="000000" w:themeColor="text1"/>
      <w:sz w:val="19"/>
      <w:szCs w:val="22"/>
      <w:lang w:eastAsia="en-US"/>
    </w:rPr>
  </w:style>
  <w:style w:type="character" w:customStyle="1" w:styleId="CopyrightpageheadingChar">
    <w:name w:val="Copyright page heading Char"/>
    <w:basedOn w:val="TabletextChar"/>
    <w:link w:val="Copyrightpageheading"/>
    <w:uiPriority w:val="99"/>
    <w:rsid w:val="00C41DD6"/>
    <w:rPr>
      <w:b/>
      <w:color w:val="000000" w:themeColor="text1"/>
      <w:sz w:val="19"/>
      <w:szCs w:val="22"/>
      <w:lang w:eastAsia="en-US"/>
    </w:rPr>
  </w:style>
  <w:style w:type="paragraph" w:styleId="BodyText">
    <w:name w:val="Body Text"/>
    <w:basedOn w:val="Normal"/>
    <w:link w:val="BodyTextChar"/>
    <w:uiPriority w:val="99"/>
    <w:unhideWhenUsed/>
    <w:qFormat/>
    <w:rsid w:val="00C41DD6"/>
    <w:pPr>
      <w:spacing w:after="120"/>
    </w:pPr>
  </w:style>
  <w:style w:type="character" w:customStyle="1" w:styleId="BodyTextChar">
    <w:name w:val="Body Text Char"/>
    <w:basedOn w:val="DefaultParagraphFont"/>
    <w:link w:val="BodyText"/>
    <w:uiPriority w:val="99"/>
    <w:rsid w:val="00C41DD6"/>
    <w:rPr>
      <w:color w:val="000000" w:themeColor="text1"/>
      <w:sz w:val="22"/>
      <w:szCs w:val="22"/>
      <w:lang w:eastAsia="en-US"/>
    </w:rPr>
  </w:style>
  <w:style w:type="paragraph" w:styleId="CommentSubject">
    <w:name w:val="annotation subject"/>
    <w:basedOn w:val="CommentText"/>
    <w:next w:val="CommentText"/>
    <w:link w:val="CommentSubjectChar"/>
    <w:uiPriority w:val="99"/>
    <w:semiHidden/>
    <w:unhideWhenUsed/>
    <w:qFormat/>
    <w:rsid w:val="00A1089C"/>
    <w:rPr>
      <w:b/>
      <w:bCs/>
    </w:rPr>
  </w:style>
  <w:style w:type="character" w:customStyle="1" w:styleId="CommentSubjectChar">
    <w:name w:val="Comment Subject Char"/>
    <w:basedOn w:val="CommentTextChar"/>
    <w:link w:val="CommentSubject"/>
    <w:uiPriority w:val="99"/>
    <w:semiHidden/>
    <w:rsid w:val="00A1089C"/>
    <w:rPr>
      <w:b/>
      <w:bCs/>
      <w:color w:val="000000" w:themeColor="text1"/>
      <w:lang w:eastAsia="en-US"/>
    </w:rPr>
  </w:style>
  <w:style w:type="numbering" w:customStyle="1" w:styleId="ABARESnumberedlist2">
    <w:name w:val="ABARES numbered list 2"/>
    <w:uiPriority w:val="99"/>
    <w:rsid w:val="00567A81"/>
    <w:pPr>
      <w:numPr>
        <w:numId w:val="6"/>
      </w:numPr>
    </w:pPr>
  </w:style>
  <w:style w:type="paragraph" w:customStyle="1" w:styleId="Tablebulletpoint">
    <w:name w:val="Table bullet point"/>
    <w:next w:val="Tabletext"/>
    <w:uiPriority w:val="99"/>
    <w:qFormat/>
    <w:rsid w:val="00C574D3"/>
    <w:pPr>
      <w:numPr>
        <w:numId w:val="7"/>
      </w:numPr>
      <w:spacing w:before="60" w:after="60"/>
      <w:ind w:left="142" w:hanging="142"/>
    </w:pPr>
    <w:rPr>
      <w:color w:val="000000" w:themeColor="text1"/>
      <w:sz w:val="19"/>
      <w:szCs w:val="19"/>
      <w:lang w:eastAsia="en-US"/>
    </w:rPr>
  </w:style>
  <w:style w:type="paragraph" w:customStyle="1" w:styleId="TableBoxtext">
    <w:name w:val="Table/Box text"/>
    <w:next w:val="Normal"/>
    <w:uiPriority w:val="27"/>
    <w:qFormat/>
    <w:rsid w:val="00C574D3"/>
    <w:pPr>
      <w:spacing w:before="40" w:after="40"/>
    </w:pPr>
    <w:rPr>
      <w:rFonts w:asciiTheme="minorHAnsi" w:hAnsiTheme="minorHAnsi"/>
      <w:color w:val="000000" w:themeColor="text1"/>
      <w:sz w:val="18"/>
      <w:szCs w:val="22"/>
      <w:lang w:eastAsia="en-US"/>
    </w:rPr>
  </w:style>
  <w:style w:type="paragraph" w:customStyle="1" w:styleId="numberedbulletintable">
    <w:name w:val="numbered bullet in table"/>
    <w:basedOn w:val="TableBoxtext"/>
    <w:qFormat/>
    <w:rsid w:val="00C574D3"/>
    <w:pPr>
      <w:ind w:left="227" w:hanging="227"/>
    </w:pPr>
    <w:rPr>
      <w:rFonts w:ascii="Cambria" w:hAnsi="Cambria"/>
      <w:szCs w:val="20"/>
      <w:lang w:eastAsia="en-AU"/>
    </w:rPr>
  </w:style>
  <w:style w:type="paragraph" w:customStyle="1" w:styleId="Tablenumberedlist">
    <w:name w:val="Table numbered list"/>
    <w:uiPriority w:val="99"/>
    <w:qFormat/>
    <w:rsid w:val="00902730"/>
    <w:pPr>
      <w:numPr>
        <w:numId w:val="8"/>
      </w:numPr>
      <w:contextualSpacing/>
    </w:pPr>
    <w:rPr>
      <w:color w:val="000000" w:themeColor="text1"/>
      <w:sz w:val="19"/>
      <w:szCs w:val="22"/>
      <w:lang w:eastAsia="en-US"/>
    </w:rPr>
  </w:style>
  <w:style w:type="paragraph" w:customStyle="1" w:styleId="Appendixheading">
    <w:name w:val="Appendix heading"/>
    <w:next w:val="BodyText1"/>
    <w:link w:val="AppendixheadingChar"/>
    <w:uiPriority w:val="99"/>
    <w:qFormat/>
    <w:rsid w:val="001B62DE"/>
    <w:pPr>
      <w:keepNext/>
      <w:keepLines/>
      <w:pageBreakBefore/>
      <w:numPr>
        <w:numId w:val="9"/>
      </w:numPr>
      <w:spacing w:after="284" w:line="180" w:lineRule="auto"/>
      <w:ind w:left="0" w:firstLine="0"/>
      <w:outlineLvl w:val="0"/>
    </w:pPr>
    <w:rPr>
      <w:rFonts w:asciiTheme="minorHAnsi" w:hAnsiTheme="minorHAnsi"/>
      <w:color w:val="000000" w:themeColor="text1"/>
      <w:sz w:val="56"/>
      <w:szCs w:val="22"/>
      <w:lang w:eastAsia="en-US"/>
    </w:rPr>
  </w:style>
  <w:style w:type="character" w:customStyle="1" w:styleId="AppendixheadingChar">
    <w:name w:val="Appendix heading Char"/>
    <w:basedOn w:val="Heading1unnumberedchapterChar"/>
    <w:link w:val="Appendixheading"/>
    <w:uiPriority w:val="99"/>
    <w:rsid w:val="001B62DE"/>
    <w:rPr>
      <w:rFonts w:asciiTheme="minorHAnsi" w:hAnsiTheme="minorHAnsi"/>
      <w:color w:val="000000" w:themeColor="text1"/>
      <w:sz w:val="56"/>
      <w:szCs w:val="22"/>
      <w:lang w:eastAsia="en-US"/>
    </w:rPr>
  </w:style>
  <w:style w:type="paragraph" w:styleId="TOC4">
    <w:name w:val="toc 4"/>
    <w:basedOn w:val="Normal"/>
    <w:next w:val="Normal"/>
    <w:autoRedefine/>
    <w:uiPriority w:val="39"/>
    <w:unhideWhenUsed/>
    <w:qFormat/>
    <w:rsid w:val="00286A96"/>
    <w:pPr>
      <w:tabs>
        <w:tab w:val="left" w:pos="425"/>
        <w:tab w:val="right" w:pos="9060"/>
      </w:tabs>
      <w:spacing w:after="100"/>
    </w:pPr>
    <w:rPr>
      <w:b/>
    </w:rPr>
  </w:style>
  <w:style w:type="character" w:styleId="PageNumber">
    <w:name w:val="page number"/>
    <w:basedOn w:val="DefaultParagraphFont"/>
    <w:uiPriority w:val="99"/>
    <w:semiHidden/>
    <w:unhideWhenUsed/>
    <w:qFormat/>
    <w:rsid w:val="00F46D1D"/>
  </w:style>
  <w:style w:type="paragraph" w:styleId="IntenseQuote">
    <w:name w:val="Intense Quote"/>
    <w:basedOn w:val="Normal"/>
    <w:next w:val="Normal"/>
    <w:link w:val="IntenseQuoteChar"/>
    <w:uiPriority w:val="30"/>
    <w:semiHidden/>
    <w:qFormat/>
    <w:locked/>
    <w:rsid w:val="00B52F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B52F07"/>
    <w:rPr>
      <w:b/>
      <w:bCs/>
      <w:i/>
      <w:iCs/>
      <w:color w:val="4F81BD" w:themeColor="accent1"/>
      <w:sz w:val="22"/>
      <w:szCs w:val="22"/>
      <w:lang w:eastAsia="en-US"/>
    </w:rPr>
  </w:style>
  <w:style w:type="paragraph" w:styleId="Date">
    <w:name w:val="Date"/>
    <w:basedOn w:val="Normal"/>
    <w:next w:val="Normal"/>
    <w:link w:val="DateChar"/>
    <w:uiPriority w:val="99"/>
    <w:unhideWhenUsed/>
    <w:qFormat/>
    <w:rsid w:val="008A363D"/>
  </w:style>
  <w:style w:type="character" w:customStyle="1" w:styleId="DateChar">
    <w:name w:val="Date Char"/>
    <w:basedOn w:val="DefaultParagraphFont"/>
    <w:link w:val="Date"/>
    <w:uiPriority w:val="99"/>
    <w:rsid w:val="008A363D"/>
    <w:rPr>
      <w:color w:val="000000" w:themeColor="text1"/>
      <w:sz w:val="22"/>
      <w:szCs w:val="22"/>
      <w:lang w:eastAsia="en-US"/>
    </w:rPr>
  </w:style>
  <w:style w:type="character" w:styleId="EndnoteReference">
    <w:name w:val="endnote reference"/>
    <w:basedOn w:val="DefaultParagraphFont"/>
    <w:uiPriority w:val="99"/>
    <w:unhideWhenUsed/>
    <w:qFormat/>
    <w:rsid w:val="008A363D"/>
    <w:rPr>
      <w:vertAlign w:val="superscript"/>
    </w:rPr>
  </w:style>
  <w:style w:type="character" w:styleId="HTMLVariable">
    <w:name w:val="HTML Variable"/>
    <w:basedOn w:val="DefaultParagraphFont"/>
    <w:uiPriority w:val="99"/>
    <w:unhideWhenUsed/>
    <w:qFormat/>
    <w:rsid w:val="008A363D"/>
    <w:rPr>
      <w:i/>
      <w:iCs/>
    </w:rPr>
  </w:style>
  <w:style w:type="paragraph" w:styleId="ListContinue">
    <w:name w:val="List Continue"/>
    <w:basedOn w:val="Normal"/>
    <w:uiPriority w:val="99"/>
    <w:unhideWhenUsed/>
    <w:qFormat/>
    <w:rsid w:val="008A363D"/>
    <w:pPr>
      <w:spacing w:after="120"/>
      <w:ind w:left="283"/>
      <w:contextualSpacing/>
    </w:pPr>
  </w:style>
  <w:style w:type="paragraph" w:styleId="BodyTextFirstIndent">
    <w:name w:val="Body Text First Indent"/>
    <w:basedOn w:val="BodyText"/>
    <w:link w:val="BodyTextFirstIndentChar"/>
    <w:uiPriority w:val="99"/>
    <w:unhideWhenUsed/>
    <w:qFormat/>
    <w:rsid w:val="008A363D"/>
    <w:pPr>
      <w:spacing w:after="200"/>
      <w:ind w:firstLine="360"/>
    </w:pPr>
  </w:style>
  <w:style w:type="character" w:customStyle="1" w:styleId="BodyTextFirstIndentChar">
    <w:name w:val="Body Text First Indent Char"/>
    <w:basedOn w:val="BodyTextChar"/>
    <w:link w:val="BodyTextFirstIndent"/>
    <w:uiPriority w:val="99"/>
    <w:rsid w:val="008A363D"/>
    <w:rPr>
      <w:color w:val="000000" w:themeColor="text1"/>
      <w:sz w:val="22"/>
      <w:szCs w:val="22"/>
      <w:lang w:eastAsia="en-US"/>
    </w:rPr>
  </w:style>
  <w:style w:type="paragraph" w:styleId="List2">
    <w:name w:val="List 2"/>
    <w:basedOn w:val="Normal"/>
    <w:uiPriority w:val="99"/>
    <w:unhideWhenUsed/>
    <w:qFormat/>
    <w:rsid w:val="00D76108"/>
    <w:pPr>
      <w:ind w:left="566" w:hanging="283"/>
      <w:contextualSpacing/>
    </w:pPr>
  </w:style>
  <w:style w:type="paragraph" w:styleId="ListContinue2">
    <w:name w:val="List Continue 2"/>
    <w:basedOn w:val="Normal"/>
    <w:uiPriority w:val="99"/>
    <w:unhideWhenUsed/>
    <w:qFormat/>
    <w:rsid w:val="00D76108"/>
    <w:pPr>
      <w:spacing w:after="120"/>
      <w:ind w:left="566"/>
      <w:contextualSpacing/>
    </w:pPr>
  </w:style>
  <w:style w:type="paragraph" w:styleId="ListContinue3">
    <w:name w:val="List Continue 3"/>
    <w:basedOn w:val="Normal"/>
    <w:uiPriority w:val="99"/>
    <w:unhideWhenUsed/>
    <w:qFormat/>
    <w:rsid w:val="00D76108"/>
    <w:pPr>
      <w:spacing w:after="120"/>
      <w:ind w:left="849"/>
      <w:contextualSpacing/>
    </w:pPr>
  </w:style>
  <w:style w:type="paragraph" w:styleId="ListNumber2">
    <w:name w:val="List Number 2"/>
    <w:basedOn w:val="Normal"/>
    <w:uiPriority w:val="99"/>
    <w:unhideWhenUsed/>
    <w:qFormat/>
    <w:rsid w:val="00D76108"/>
    <w:pPr>
      <w:numPr>
        <w:numId w:val="10"/>
      </w:numPr>
      <w:contextualSpacing/>
    </w:pPr>
  </w:style>
  <w:style w:type="paragraph" w:styleId="ListNumber3">
    <w:name w:val="List Number 3"/>
    <w:basedOn w:val="Normal"/>
    <w:uiPriority w:val="99"/>
    <w:unhideWhenUsed/>
    <w:qFormat/>
    <w:rsid w:val="00D76108"/>
    <w:pPr>
      <w:numPr>
        <w:numId w:val="11"/>
      </w:numPr>
      <w:contextualSpacing/>
    </w:pPr>
  </w:style>
  <w:style w:type="paragraph" w:styleId="ListNumber4">
    <w:name w:val="List Number 4"/>
    <w:basedOn w:val="Normal"/>
    <w:uiPriority w:val="99"/>
    <w:unhideWhenUsed/>
    <w:qFormat/>
    <w:rsid w:val="00D76108"/>
    <w:pPr>
      <w:numPr>
        <w:numId w:val="12"/>
      </w:numPr>
      <w:contextualSpacing/>
    </w:pPr>
  </w:style>
  <w:style w:type="paragraph" w:styleId="ListNumber5">
    <w:name w:val="List Number 5"/>
    <w:basedOn w:val="Normal"/>
    <w:uiPriority w:val="99"/>
    <w:unhideWhenUsed/>
    <w:qFormat/>
    <w:rsid w:val="00D76108"/>
    <w:pPr>
      <w:numPr>
        <w:numId w:val="13"/>
      </w:numPr>
      <w:contextualSpacing/>
    </w:pPr>
  </w:style>
  <w:style w:type="paragraph" w:customStyle="1" w:styleId="SourceCode">
    <w:name w:val="Source Code"/>
    <w:basedOn w:val="Normal"/>
    <w:rsid w:val="00915ABD"/>
    <w:pPr>
      <w:wordWrap w:val="0"/>
    </w:pPr>
  </w:style>
  <w:style w:type="character" w:customStyle="1" w:styleId="KeywordTok">
    <w:name w:val="KeywordTok"/>
    <w:rsid w:val="00915ABD"/>
    <w:rPr>
      <w:b/>
      <w:color w:val="007020"/>
    </w:rPr>
  </w:style>
  <w:style w:type="character" w:customStyle="1" w:styleId="DataTypeTok">
    <w:name w:val="DataTypeTok"/>
    <w:rsid w:val="00915ABD"/>
    <w:rPr>
      <w:color w:val="902000"/>
    </w:rPr>
  </w:style>
  <w:style w:type="character" w:customStyle="1" w:styleId="DecValTok">
    <w:name w:val="DecValTok"/>
    <w:rsid w:val="00915ABD"/>
    <w:rPr>
      <w:color w:val="40A070"/>
    </w:rPr>
  </w:style>
  <w:style w:type="character" w:customStyle="1" w:styleId="BaseNTok">
    <w:name w:val="BaseNTok"/>
    <w:rsid w:val="00915ABD"/>
    <w:rPr>
      <w:color w:val="40A070"/>
    </w:rPr>
  </w:style>
  <w:style w:type="character" w:customStyle="1" w:styleId="FloatTok">
    <w:name w:val="FloatTok"/>
    <w:rsid w:val="00915ABD"/>
    <w:rPr>
      <w:color w:val="40A070"/>
    </w:rPr>
  </w:style>
  <w:style w:type="character" w:customStyle="1" w:styleId="ConstantTok">
    <w:name w:val="ConstantTok"/>
    <w:rsid w:val="00915ABD"/>
    <w:rPr>
      <w:color w:val="880000"/>
    </w:rPr>
  </w:style>
  <w:style w:type="character" w:customStyle="1" w:styleId="CharTok">
    <w:name w:val="CharTok"/>
    <w:rsid w:val="00915ABD"/>
    <w:rPr>
      <w:color w:val="4070A0"/>
    </w:rPr>
  </w:style>
  <w:style w:type="character" w:customStyle="1" w:styleId="SpecialCharTok">
    <w:name w:val="SpecialCharTok"/>
    <w:rsid w:val="00915ABD"/>
    <w:rPr>
      <w:color w:val="4070A0"/>
    </w:rPr>
  </w:style>
  <w:style w:type="character" w:customStyle="1" w:styleId="StringTok">
    <w:name w:val="StringTok"/>
    <w:rsid w:val="00915ABD"/>
    <w:rPr>
      <w:color w:val="4070A0"/>
    </w:rPr>
  </w:style>
  <w:style w:type="character" w:customStyle="1" w:styleId="VerbatimStringTok">
    <w:name w:val="VerbatimStringTok"/>
    <w:rsid w:val="00915ABD"/>
    <w:rPr>
      <w:color w:val="4070A0"/>
    </w:rPr>
  </w:style>
  <w:style w:type="character" w:customStyle="1" w:styleId="SpecialStringTok">
    <w:name w:val="SpecialStringTok"/>
    <w:rsid w:val="00915ABD"/>
    <w:rPr>
      <w:color w:val="BB6688"/>
    </w:rPr>
  </w:style>
  <w:style w:type="character" w:customStyle="1" w:styleId="ImportTok">
    <w:name w:val="ImportTok"/>
    <w:rsid w:val="00915ABD"/>
  </w:style>
  <w:style w:type="character" w:customStyle="1" w:styleId="CommentTok">
    <w:name w:val="CommentTok"/>
    <w:rsid w:val="00915ABD"/>
    <w:rPr>
      <w:i/>
      <w:color w:val="60A0B0"/>
    </w:rPr>
  </w:style>
  <w:style w:type="character" w:customStyle="1" w:styleId="DocumentationTok">
    <w:name w:val="DocumentationTok"/>
    <w:rsid w:val="00915ABD"/>
    <w:rPr>
      <w:i/>
      <w:color w:val="BA2121"/>
    </w:rPr>
  </w:style>
  <w:style w:type="character" w:customStyle="1" w:styleId="AnnotationTok">
    <w:name w:val="AnnotationTok"/>
    <w:rsid w:val="00915ABD"/>
    <w:rPr>
      <w:b/>
      <w:i/>
      <w:color w:val="60A0B0"/>
    </w:rPr>
  </w:style>
  <w:style w:type="character" w:customStyle="1" w:styleId="CommentVarTok">
    <w:name w:val="CommentVarTok"/>
    <w:rsid w:val="00915ABD"/>
    <w:rPr>
      <w:b/>
      <w:i/>
      <w:color w:val="60A0B0"/>
    </w:rPr>
  </w:style>
  <w:style w:type="character" w:customStyle="1" w:styleId="OtherTok">
    <w:name w:val="OtherTok"/>
    <w:rsid w:val="00915ABD"/>
    <w:rPr>
      <w:color w:val="007020"/>
    </w:rPr>
  </w:style>
  <w:style w:type="character" w:customStyle="1" w:styleId="FunctionTok">
    <w:name w:val="FunctionTok"/>
    <w:rsid w:val="00915ABD"/>
    <w:rPr>
      <w:color w:val="06287E"/>
    </w:rPr>
  </w:style>
  <w:style w:type="character" w:customStyle="1" w:styleId="VariableTok">
    <w:name w:val="VariableTok"/>
    <w:rsid w:val="00915ABD"/>
    <w:rPr>
      <w:color w:val="19177C"/>
    </w:rPr>
  </w:style>
  <w:style w:type="character" w:customStyle="1" w:styleId="ControlFlowTok">
    <w:name w:val="ControlFlowTok"/>
    <w:rsid w:val="00915ABD"/>
    <w:rPr>
      <w:b/>
      <w:color w:val="007020"/>
    </w:rPr>
  </w:style>
  <w:style w:type="character" w:customStyle="1" w:styleId="OperatorTok">
    <w:name w:val="OperatorTok"/>
    <w:rsid w:val="00915ABD"/>
    <w:rPr>
      <w:color w:val="666666"/>
    </w:rPr>
  </w:style>
  <w:style w:type="character" w:customStyle="1" w:styleId="BuiltInTok">
    <w:name w:val="BuiltInTok"/>
    <w:rsid w:val="00915ABD"/>
  </w:style>
  <w:style w:type="character" w:customStyle="1" w:styleId="ExtensionTok">
    <w:name w:val="ExtensionTok"/>
    <w:rsid w:val="00915ABD"/>
  </w:style>
  <w:style w:type="character" w:customStyle="1" w:styleId="PreprocessorTok">
    <w:name w:val="PreprocessorTok"/>
    <w:rsid w:val="00915ABD"/>
    <w:rPr>
      <w:color w:val="BC7A00"/>
    </w:rPr>
  </w:style>
  <w:style w:type="character" w:customStyle="1" w:styleId="AttributeTok">
    <w:name w:val="AttributeTok"/>
    <w:rsid w:val="00915ABD"/>
    <w:rPr>
      <w:color w:val="7D9029"/>
    </w:rPr>
  </w:style>
  <w:style w:type="character" w:customStyle="1" w:styleId="RegionMarkerTok">
    <w:name w:val="RegionMarkerTok"/>
    <w:rsid w:val="00915ABD"/>
  </w:style>
  <w:style w:type="character" w:customStyle="1" w:styleId="InformationTok">
    <w:name w:val="InformationTok"/>
    <w:rsid w:val="00915ABD"/>
    <w:rPr>
      <w:b/>
      <w:i/>
      <w:color w:val="60A0B0"/>
    </w:rPr>
  </w:style>
  <w:style w:type="character" w:customStyle="1" w:styleId="WarningTok">
    <w:name w:val="WarningTok"/>
    <w:rsid w:val="00915ABD"/>
    <w:rPr>
      <w:b/>
      <w:i/>
      <w:color w:val="60A0B0"/>
    </w:rPr>
  </w:style>
  <w:style w:type="character" w:customStyle="1" w:styleId="AlertTok">
    <w:name w:val="AlertTok"/>
    <w:rsid w:val="00915ABD"/>
    <w:rPr>
      <w:b/>
      <w:color w:val="FF0000"/>
    </w:rPr>
  </w:style>
  <w:style w:type="character" w:customStyle="1" w:styleId="ErrorTok">
    <w:name w:val="ErrorTok"/>
    <w:rsid w:val="00915ABD"/>
    <w:rPr>
      <w:b/>
      <w:color w:val="FF0000"/>
    </w:rPr>
  </w:style>
  <w:style w:type="character" w:customStyle="1" w:styleId="NormalTok">
    <w:name w:val="NormalTok"/>
    <w:rsid w:val="00915ABD"/>
  </w:style>
  <w:style w:type="paragraph" w:styleId="NoteHeading">
    <w:name w:val="Note Heading"/>
    <w:basedOn w:val="Normal"/>
    <w:next w:val="Normal"/>
    <w:link w:val="NoteHeadingChar"/>
    <w:uiPriority w:val="99"/>
    <w:unhideWhenUsed/>
    <w:qFormat/>
    <w:rsid w:val="0027343A"/>
    <w:pPr>
      <w:spacing w:after="0" w:line="240" w:lineRule="auto"/>
    </w:pPr>
  </w:style>
  <w:style w:type="character" w:customStyle="1" w:styleId="NoteHeadingChar">
    <w:name w:val="Note Heading Char"/>
    <w:basedOn w:val="DefaultParagraphFont"/>
    <w:link w:val="NoteHeading"/>
    <w:uiPriority w:val="99"/>
    <w:rsid w:val="0027343A"/>
    <w:rPr>
      <w:color w:val="000000" w:themeColor="text1"/>
      <w:sz w:val="22"/>
      <w:szCs w:val="22"/>
      <w:lang w:eastAsia="en-US"/>
    </w:rPr>
  </w:style>
  <w:style w:type="character" w:customStyle="1" w:styleId="A5">
    <w:name w:val="A5"/>
    <w:uiPriority w:val="99"/>
    <w:rsid w:val="00973B94"/>
    <w:rPr>
      <w:rFonts w:cs="Cambria"/>
      <w:color w:val="000000"/>
      <w:sz w:val="14"/>
      <w:szCs w:val="14"/>
    </w:rPr>
  </w:style>
  <w:style w:type="paragraph" w:customStyle="1" w:styleId="Default">
    <w:name w:val="Default"/>
    <w:rsid w:val="00D12069"/>
    <w:pPr>
      <w:widowControl w:val="0"/>
      <w:autoSpaceDE w:val="0"/>
      <w:autoSpaceDN w:val="0"/>
      <w:adjustRightInd w:val="0"/>
    </w:pPr>
    <w:rPr>
      <w:rFonts w:ascii="Times New Roman" w:eastAsiaTheme="minorEastAsia" w:hAnsi="Times New Roman"/>
      <w:color w:val="000000"/>
      <w:sz w:val="24"/>
      <w:szCs w:val="24"/>
      <w:lang w:val="en-US" w:eastAsia="ja-JP"/>
    </w:rPr>
  </w:style>
  <w:style w:type="paragraph" w:styleId="PlainText">
    <w:name w:val="Plain Text"/>
    <w:basedOn w:val="Normal"/>
    <w:link w:val="PlainTextChar"/>
    <w:uiPriority w:val="99"/>
    <w:semiHidden/>
    <w:unhideWhenUsed/>
    <w:rsid w:val="00C8527C"/>
    <w:pPr>
      <w:spacing w:after="0"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semiHidden/>
    <w:rsid w:val="00C8527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9064">
      <w:bodyDiv w:val="1"/>
      <w:marLeft w:val="0"/>
      <w:marRight w:val="0"/>
      <w:marTop w:val="0"/>
      <w:marBottom w:val="0"/>
      <w:divBdr>
        <w:top w:val="none" w:sz="0" w:space="0" w:color="auto"/>
        <w:left w:val="none" w:sz="0" w:space="0" w:color="auto"/>
        <w:bottom w:val="none" w:sz="0" w:space="0" w:color="auto"/>
        <w:right w:val="none" w:sz="0" w:space="0" w:color="auto"/>
      </w:divBdr>
    </w:div>
    <w:div w:id="9796749">
      <w:bodyDiv w:val="1"/>
      <w:marLeft w:val="0"/>
      <w:marRight w:val="0"/>
      <w:marTop w:val="0"/>
      <w:marBottom w:val="0"/>
      <w:divBdr>
        <w:top w:val="none" w:sz="0" w:space="0" w:color="auto"/>
        <w:left w:val="none" w:sz="0" w:space="0" w:color="auto"/>
        <w:bottom w:val="none" w:sz="0" w:space="0" w:color="auto"/>
        <w:right w:val="none" w:sz="0" w:space="0" w:color="auto"/>
      </w:divBdr>
    </w:div>
    <w:div w:id="63651492">
      <w:bodyDiv w:val="1"/>
      <w:marLeft w:val="0"/>
      <w:marRight w:val="0"/>
      <w:marTop w:val="0"/>
      <w:marBottom w:val="0"/>
      <w:divBdr>
        <w:top w:val="none" w:sz="0" w:space="0" w:color="auto"/>
        <w:left w:val="none" w:sz="0" w:space="0" w:color="auto"/>
        <w:bottom w:val="none" w:sz="0" w:space="0" w:color="auto"/>
        <w:right w:val="none" w:sz="0" w:space="0" w:color="auto"/>
      </w:divBdr>
    </w:div>
    <w:div w:id="72431846">
      <w:bodyDiv w:val="1"/>
      <w:marLeft w:val="0"/>
      <w:marRight w:val="0"/>
      <w:marTop w:val="0"/>
      <w:marBottom w:val="0"/>
      <w:divBdr>
        <w:top w:val="none" w:sz="0" w:space="0" w:color="auto"/>
        <w:left w:val="none" w:sz="0" w:space="0" w:color="auto"/>
        <w:bottom w:val="none" w:sz="0" w:space="0" w:color="auto"/>
        <w:right w:val="none" w:sz="0" w:space="0" w:color="auto"/>
      </w:divBdr>
    </w:div>
    <w:div w:id="83695999">
      <w:bodyDiv w:val="1"/>
      <w:marLeft w:val="0"/>
      <w:marRight w:val="0"/>
      <w:marTop w:val="0"/>
      <w:marBottom w:val="0"/>
      <w:divBdr>
        <w:top w:val="none" w:sz="0" w:space="0" w:color="auto"/>
        <w:left w:val="none" w:sz="0" w:space="0" w:color="auto"/>
        <w:bottom w:val="none" w:sz="0" w:space="0" w:color="auto"/>
        <w:right w:val="none" w:sz="0" w:space="0" w:color="auto"/>
      </w:divBdr>
    </w:div>
    <w:div w:id="124736630">
      <w:bodyDiv w:val="1"/>
      <w:marLeft w:val="0"/>
      <w:marRight w:val="0"/>
      <w:marTop w:val="0"/>
      <w:marBottom w:val="0"/>
      <w:divBdr>
        <w:top w:val="none" w:sz="0" w:space="0" w:color="auto"/>
        <w:left w:val="none" w:sz="0" w:space="0" w:color="auto"/>
        <w:bottom w:val="none" w:sz="0" w:space="0" w:color="auto"/>
        <w:right w:val="none" w:sz="0" w:space="0" w:color="auto"/>
      </w:divBdr>
    </w:div>
    <w:div w:id="137384512">
      <w:bodyDiv w:val="1"/>
      <w:marLeft w:val="0"/>
      <w:marRight w:val="0"/>
      <w:marTop w:val="0"/>
      <w:marBottom w:val="0"/>
      <w:divBdr>
        <w:top w:val="none" w:sz="0" w:space="0" w:color="auto"/>
        <w:left w:val="none" w:sz="0" w:space="0" w:color="auto"/>
        <w:bottom w:val="none" w:sz="0" w:space="0" w:color="auto"/>
        <w:right w:val="none" w:sz="0" w:space="0" w:color="auto"/>
      </w:divBdr>
    </w:div>
    <w:div w:id="142166810">
      <w:bodyDiv w:val="1"/>
      <w:marLeft w:val="0"/>
      <w:marRight w:val="0"/>
      <w:marTop w:val="0"/>
      <w:marBottom w:val="0"/>
      <w:divBdr>
        <w:top w:val="none" w:sz="0" w:space="0" w:color="auto"/>
        <w:left w:val="none" w:sz="0" w:space="0" w:color="auto"/>
        <w:bottom w:val="none" w:sz="0" w:space="0" w:color="auto"/>
        <w:right w:val="none" w:sz="0" w:space="0" w:color="auto"/>
      </w:divBdr>
    </w:div>
    <w:div w:id="146094105">
      <w:bodyDiv w:val="1"/>
      <w:marLeft w:val="0"/>
      <w:marRight w:val="0"/>
      <w:marTop w:val="0"/>
      <w:marBottom w:val="0"/>
      <w:divBdr>
        <w:top w:val="none" w:sz="0" w:space="0" w:color="auto"/>
        <w:left w:val="none" w:sz="0" w:space="0" w:color="auto"/>
        <w:bottom w:val="none" w:sz="0" w:space="0" w:color="auto"/>
        <w:right w:val="none" w:sz="0" w:space="0" w:color="auto"/>
      </w:divBdr>
    </w:div>
    <w:div w:id="176315229">
      <w:bodyDiv w:val="1"/>
      <w:marLeft w:val="0"/>
      <w:marRight w:val="0"/>
      <w:marTop w:val="0"/>
      <w:marBottom w:val="0"/>
      <w:divBdr>
        <w:top w:val="none" w:sz="0" w:space="0" w:color="auto"/>
        <w:left w:val="none" w:sz="0" w:space="0" w:color="auto"/>
        <w:bottom w:val="none" w:sz="0" w:space="0" w:color="auto"/>
        <w:right w:val="none" w:sz="0" w:space="0" w:color="auto"/>
      </w:divBdr>
    </w:div>
    <w:div w:id="205218312">
      <w:bodyDiv w:val="1"/>
      <w:marLeft w:val="0"/>
      <w:marRight w:val="0"/>
      <w:marTop w:val="0"/>
      <w:marBottom w:val="0"/>
      <w:divBdr>
        <w:top w:val="none" w:sz="0" w:space="0" w:color="auto"/>
        <w:left w:val="none" w:sz="0" w:space="0" w:color="auto"/>
        <w:bottom w:val="none" w:sz="0" w:space="0" w:color="auto"/>
        <w:right w:val="none" w:sz="0" w:space="0" w:color="auto"/>
      </w:divBdr>
    </w:div>
    <w:div w:id="214393784">
      <w:bodyDiv w:val="1"/>
      <w:marLeft w:val="0"/>
      <w:marRight w:val="0"/>
      <w:marTop w:val="0"/>
      <w:marBottom w:val="0"/>
      <w:divBdr>
        <w:top w:val="none" w:sz="0" w:space="0" w:color="auto"/>
        <w:left w:val="none" w:sz="0" w:space="0" w:color="auto"/>
        <w:bottom w:val="none" w:sz="0" w:space="0" w:color="auto"/>
        <w:right w:val="none" w:sz="0" w:space="0" w:color="auto"/>
      </w:divBdr>
    </w:div>
    <w:div w:id="235475232">
      <w:bodyDiv w:val="1"/>
      <w:marLeft w:val="0"/>
      <w:marRight w:val="0"/>
      <w:marTop w:val="0"/>
      <w:marBottom w:val="0"/>
      <w:divBdr>
        <w:top w:val="none" w:sz="0" w:space="0" w:color="auto"/>
        <w:left w:val="none" w:sz="0" w:space="0" w:color="auto"/>
        <w:bottom w:val="none" w:sz="0" w:space="0" w:color="auto"/>
        <w:right w:val="none" w:sz="0" w:space="0" w:color="auto"/>
      </w:divBdr>
    </w:div>
    <w:div w:id="273293008">
      <w:bodyDiv w:val="1"/>
      <w:marLeft w:val="0"/>
      <w:marRight w:val="0"/>
      <w:marTop w:val="0"/>
      <w:marBottom w:val="0"/>
      <w:divBdr>
        <w:top w:val="none" w:sz="0" w:space="0" w:color="auto"/>
        <w:left w:val="none" w:sz="0" w:space="0" w:color="auto"/>
        <w:bottom w:val="none" w:sz="0" w:space="0" w:color="auto"/>
        <w:right w:val="none" w:sz="0" w:space="0" w:color="auto"/>
      </w:divBdr>
    </w:div>
    <w:div w:id="280455259">
      <w:bodyDiv w:val="1"/>
      <w:marLeft w:val="0"/>
      <w:marRight w:val="0"/>
      <w:marTop w:val="0"/>
      <w:marBottom w:val="0"/>
      <w:divBdr>
        <w:top w:val="none" w:sz="0" w:space="0" w:color="auto"/>
        <w:left w:val="none" w:sz="0" w:space="0" w:color="auto"/>
        <w:bottom w:val="none" w:sz="0" w:space="0" w:color="auto"/>
        <w:right w:val="none" w:sz="0" w:space="0" w:color="auto"/>
      </w:divBdr>
    </w:div>
    <w:div w:id="314843546">
      <w:bodyDiv w:val="1"/>
      <w:marLeft w:val="0"/>
      <w:marRight w:val="0"/>
      <w:marTop w:val="0"/>
      <w:marBottom w:val="0"/>
      <w:divBdr>
        <w:top w:val="none" w:sz="0" w:space="0" w:color="auto"/>
        <w:left w:val="none" w:sz="0" w:space="0" w:color="auto"/>
        <w:bottom w:val="none" w:sz="0" w:space="0" w:color="auto"/>
        <w:right w:val="none" w:sz="0" w:space="0" w:color="auto"/>
      </w:divBdr>
    </w:div>
    <w:div w:id="316735939">
      <w:bodyDiv w:val="1"/>
      <w:marLeft w:val="0"/>
      <w:marRight w:val="0"/>
      <w:marTop w:val="0"/>
      <w:marBottom w:val="0"/>
      <w:divBdr>
        <w:top w:val="none" w:sz="0" w:space="0" w:color="auto"/>
        <w:left w:val="none" w:sz="0" w:space="0" w:color="auto"/>
        <w:bottom w:val="none" w:sz="0" w:space="0" w:color="auto"/>
        <w:right w:val="none" w:sz="0" w:space="0" w:color="auto"/>
      </w:divBdr>
    </w:div>
    <w:div w:id="344600208">
      <w:bodyDiv w:val="1"/>
      <w:marLeft w:val="0"/>
      <w:marRight w:val="0"/>
      <w:marTop w:val="0"/>
      <w:marBottom w:val="0"/>
      <w:divBdr>
        <w:top w:val="none" w:sz="0" w:space="0" w:color="auto"/>
        <w:left w:val="none" w:sz="0" w:space="0" w:color="auto"/>
        <w:bottom w:val="none" w:sz="0" w:space="0" w:color="auto"/>
        <w:right w:val="none" w:sz="0" w:space="0" w:color="auto"/>
      </w:divBdr>
    </w:div>
    <w:div w:id="350303795">
      <w:bodyDiv w:val="1"/>
      <w:marLeft w:val="0"/>
      <w:marRight w:val="0"/>
      <w:marTop w:val="0"/>
      <w:marBottom w:val="0"/>
      <w:divBdr>
        <w:top w:val="none" w:sz="0" w:space="0" w:color="auto"/>
        <w:left w:val="none" w:sz="0" w:space="0" w:color="auto"/>
        <w:bottom w:val="none" w:sz="0" w:space="0" w:color="auto"/>
        <w:right w:val="none" w:sz="0" w:space="0" w:color="auto"/>
      </w:divBdr>
    </w:div>
    <w:div w:id="385110016">
      <w:bodyDiv w:val="1"/>
      <w:marLeft w:val="0"/>
      <w:marRight w:val="0"/>
      <w:marTop w:val="0"/>
      <w:marBottom w:val="0"/>
      <w:divBdr>
        <w:top w:val="none" w:sz="0" w:space="0" w:color="auto"/>
        <w:left w:val="none" w:sz="0" w:space="0" w:color="auto"/>
        <w:bottom w:val="none" w:sz="0" w:space="0" w:color="auto"/>
        <w:right w:val="none" w:sz="0" w:space="0" w:color="auto"/>
      </w:divBdr>
    </w:div>
    <w:div w:id="391925449">
      <w:bodyDiv w:val="1"/>
      <w:marLeft w:val="0"/>
      <w:marRight w:val="0"/>
      <w:marTop w:val="0"/>
      <w:marBottom w:val="0"/>
      <w:divBdr>
        <w:top w:val="none" w:sz="0" w:space="0" w:color="auto"/>
        <w:left w:val="none" w:sz="0" w:space="0" w:color="auto"/>
        <w:bottom w:val="none" w:sz="0" w:space="0" w:color="auto"/>
        <w:right w:val="none" w:sz="0" w:space="0" w:color="auto"/>
      </w:divBdr>
    </w:div>
    <w:div w:id="403603036">
      <w:bodyDiv w:val="1"/>
      <w:marLeft w:val="0"/>
      <w:marRight w:val="0"/>
      <w:marTop w:val="0"/>
      <w:marBottom w:val="0"/>
      <w:divBdr>
        <w:top w:val="none" w:sz="0" w:space="0" w:color="auto"/>
        <w:left w:val="none" w:sz="0" w:space="0" w:color="auto"/>
        <w:bottom w:val="none" w:sz="0" w:space="0" w:color="auto"/>
        <w:right w:val="none" w:sz="0" w:space="0" w:color="auto"/>
      </w:divBdr>
    </w:div>
    <w:div w:id="438840246">
      <w:bodyDiv w:val="1"/>
      <w:marLeft w:val="0"/>
      <w:marRight w:val="0"/>
      <w:marTop w:val="0"/>
      <w:marBottom w:val="0"/>
      <w:divBdr>
        <w:top w:val="none" w:sz="0" w:space="0" w:color="auto"/>
        <w:left w:val="none" w:sz="0" w:space="0" w:color="auto"/>
        <w:bottom w:val="none" w:sz="0" w:space="0" w:color="auto"/>
        <w:right w:val="none" w:sz="0" w:space="0" w:color="auto"/>
      </w:divBdr>
    </w:div>
    <w:div w:id="444085757">
      <w:bodyDiv w:val="1"/>
      <w:marLeft w:val="0"/>
      <w:marRight w:val="0"/>
      <w:marTop w:val="0"/>
      <w:marBottom w:val="0"/>
      <w:divBdr>
        <w:top w:val="none" w:sz="0" w:space="0" w:color="auto"/>
        <w:left w:val="none" w:sz="0" w:space="0" w:color="auto"/>
        <w:bottom w:val="none" w:sz="0" w:space="0" w:color="auto"/>
        <w:right w:val="none" w:sz="0" w:space="0" w:color="auto"/>
      </w:divBdr>
    </w:div>
    <w:div w:id="445202661">
      <w:bodyDiv w:val="1"/>
      <w:marLeft w:val="0"/>
      <w:marRight w:val="0"/>
      <w:marTop w:val="0"/>
      <w:marBottom w:val="0"/>
      <w:divBdr>
        <w:top w:val="none" w:sz="0" w:space="0" w:color="auto"/>
        <w:left w:val="none" w:sz="0" w:space="0" w:color="auto"/>
        <w:bottom w:val="none" w:sz="0" w:space="0" w:color="auto"/>
        <w:right w:val="none" w:sz="0" w:space="0" w:color="auto"/>
      </w:divBdr>
    </w:div>
    <w:div w:id="447893646">
      <w:bodyDiv w:val="1"/>
      <w:marLeft w:val="0"/>
      <w:marRight w:val="0"/>
      <w:marTop w:val="0"/>
      <w:marBottom w:val="0"/>
      <w:divBdr>
        <w:top w:val="none" w:sz="0" w:space="0" w:color="auto"/>
        <w:left w:val="none" w:sz="0" w:space="0" w:color="auto"/>
        <w:bottom w:val="none" w:sz="0" w:space="0" w:color="auto"/>
        <w:right w:val="none" w:sz="0" w:space="0" w:color="auto"/>
      </w:divBdr>
    </w:div>
    <w:div w:id="451674290">
      <w:bodyDiv w:val="1"/>
      <w:marLeft w:val="0"/>
      <w:marRight w:val="0"/>
      <w:marTop w:val="0"/>
      <w:marBottom w:val="0"/>
      <w:divBdr>
        <w:top w:val="none" w:sz="0" w:space="0" w:color="auto"/>
        <w:left w:val="none" w:sz="0" w:space="0" w:color="auto"/>
        <w:bottom w:val="none" w:sz="0" w:space="0" w:color="auto"/>
        <w:right w:val="none" w:sz="0" w:space="0" w:color="auto"/>
      </w:divBdr>
    </w:div>
    <w:div w:id="461850344">
      <w:bodyDiv w:val="1"/>
      <w:marLeft w:val="0"/>
      <w:marRight w:val="0"/>
      <w:marTop w:val="0"/>
      <w:marBottom w:val="0"/>
      <w:divBdr>
        <w:top w:val="none" w:sz="0" w:space="0" w:color="auto"/>
        <w:left w:val="none" w:sz="0" w:space="0" w:color="auto"/>
        <w:bottom w:val="none" w:sz="0" w:space="0" w:color="auto"/>
        <w:right w:val="none" w:sz="0" w:space="0" w:color="auto"/>
      </w:divBdr>
    </w:div>
    <w:div w:id="535046900">
      <w:bodyDiv w:val="1"/>
      <w:marLeft w:val="0"/>
      <w:marRight w:val="0"/>
      <w:marTop w:val="0"/>
      <w:marBottom w:val="0"/>
      <w:divBdr>
        <w:top w:val="none" w:sz="0" w:space="0" w:color="auto"/>
        <w:left w:val="none" w:sz="0" w:space="0" w:color="auto"/>
        <w:bottom w:val="none" w:sz="0" w:space="0" w:color="auto"/>
        <w:right w:val="none" w:sz="0" w:space="0" w:color="auto"/>
      </w:divBdr>
    </w:div>
    <w:div w:id="542524327">
      <w:bodyDiv w:val="1"/>
      <w:marLeft w:val="0"/>
      <w:marRight w:val="0"/>
      <w:marTop w:val="0"/>
      <w:marBottom w:val="0"/>
      <w:divBdr>
        <w:top w:val="none" w:sz="0" w:space="0" w:color="auto"/>
        <w:left w:val="none" w:sz="0" w:space="0" w:color="auto"/>
        <w:bottom w:val="none" w:sz="0" w:space="0" w:color="auto"/>
        <w:right w:val="none" w:sz="0" w:space="0" w:color="auto"/>
      </w:divBdr>
    </w:div>
    <w:div w:id="562562429">
      <w:bodyDiv w:val="1"/>
      <w:marLeft w:val="0"/>
      <w:marRight w:val="0"/>
      <w:marTop w:val="0"/>
      <w:marBottom w:val="0"/>
      <w:divBdr>
        <w:top w:val="none" w:sz="0" w:space="0" w:color="auto"/>
        <w:left w:val="none" w:sz="0" w:space="0" w:color="auto"/>
        <w:bottom w:val="none" w:sz="0" w:space="0" w:color="auto"/>
        <w:right w:val="none" w:sz="0" w:space="0" w:color="auto"/>
      </w:divBdr>
    </w:div>
    <w:div w:id="563955517">
      <w:bodyDiv w:val="1"/>
      <w:marLeft w:val="0"/>
      <w:marRight w:val="0"/>
      <w:marTop w:val="0"/>
      <w:marBottom w:val="0"/>
      <w:divBdr>
        <w:top w:val="none" w:sz="0" w:space="0" w:color="auto"/>
        <w:left w:val="none" w:sz="0" w:space="0" w:color="auto"/>
        <w:bottom w:val="none" w:sz="0" w:space="0" w:color="auto"/>
        <w:right w:val="none" w:sz="0" w:space="0" w:color="auto"/>
      </w:divBdr>
    </w:div>
    <w:div w:id="604461536">
      <w:bodyDiv w:val="1"/>
      <w:marLeft w:val="0"/>
      <w:marRight w:val="0"/>
      <w:marTop w:val="0"/>
      <w:marBottom w:val="0"/>
      <w:divBdr>
        <w:top w:val="none" w:sz="0" w:space="0" w:color="auto"/>
        <w:left w:val="none" w:sz="0" w:space="0" w:color="auto"/>
        <w:bottom w:val="none" w:sz="0" w:space="0" w:color="auto"/>
        <w:right w:val="none" w:sz="0" w:space="0" w:color="auto"/>
      </w:divBdr>
    </w:div>
    <w:div w:id="610630672">
      <w:bodyDiv w:val="1"/>
      <w:marLeft w:val="0"/>
      <w:marRight w:val="0"/>
      <w:marTop w:val="0"/>
      <w:marBottom w:val="0"/>
      <w:divBdr>
        <w:top w:val="none" w:sz="0" w:space="0" w:color="auto"/>
        <w:left w:val="none" w:sz="0" w:space="0" w:color="auto"/>
        <w:bottom w:val="none" w:sz="0" w:space="0" w:color="auto"/>
        <w:right w:val="none" w:sz="0" w:space="0" w:color="auto"/>
      </w:divBdr>
    </w:div>
    <w:div w:id="616065422">
      <w:bodyDiv w:val="1"/>
      <w:marLeft w:val="0"/>
      <w:marRight w:val="0"/>
      <w:marTop w:val="0"/>
      <w:marBottom w:val="0"/>
      <w:divBdr>
        <w:top w:val="none" w:sz="0" w:space="0" w:color="auto"/>
        <w:left w:val="none" w:sz="0" w:space="0" w:color="auto"/>
        <w:bottom w:val="none" w:sz="0" w:space="0" w:color="auto"/>
        <w:right w:val="none" w:sz="0" w:space="0" w:color="auto"/>
      </w:divBdr>
    </w:div>
    <w:div w:id="621495162">
      <w:bodyDiv w:val="1"/>
      <w:marLeft w:val="0"/>
      <w:marRight w:val="0"/>
      <w:marTop w:val="0"/>
      <w:marBottom w:val="0"/>
      <w:divBdr>
        <w:top w:val="none" w:sz="0" w:space="0" w:color="auto"/>
        <w:left w:val="none" w:sz="0" w:space="0" w:color="auto"/>
        <w:bottom w:val="none" w:sz="0" w:space="0" w:color="auto"/>
        <w:right w:val="none" w:sz="0" w:space="0" w:color="auto"/>
      </w:divBdr>
    </w:div>
    <w:div w:id="638458596">
      <w:bodyDiv w:val="1"/>
      <w:marLeft w:val="0"/>
      <w:marRight w:val="0"/>
      <w:marTop w:val="0"/>
      <w:marBottom w:val="0"/>
      <w:divBdr>
        <w:top w:val="none" w:sz="0" w:space="0" w:color="auto"/>
        <w:left w:val="none" w:sz="0" w:space="0" w:color="auto"/>
        <w:bottom w:val="none" w:sz="0" w:space="0" w:color="auto"/>
        <w:right w:val="none" w:sz="0" w:space="0" w:color="auto"/>
      </w:divBdr>
    </w:div>
    <w:div w:id="642127842">
      <w:bodyDiv w:val="1"/>
      <w:marLeft w:val="0"/>
      <w:marRight w:val="0"/>
      <w:marTop w:val="0"/>
      <w:marBottom w:val="0"/>
      <w:divBdr>
        <w:top w:val="none" w:sz="0" w:space="0" w:color="auto"/>
        <w:left w:val="none" w:sz="0" w:space="0" w:color="auto"/>
        <w:bottom w:val="none" w:sz="0" w:space="0" w:color="auto"/>
        <w:right w:val="none" w:sz="0" w:space="0" w:color="auto"/>
      </w:divBdr>
    </w:div>
    <w:div w:id="662708617">
      <w:bodyDiv w:val="1"/>
      <w:marLeft w:val="0"/>
      <w:marRight w:val="0"/>
      <w:marTop w:val="0"/>
      <w:marBottom w:val="0"/>
      <w:divBdr>
        <w:top w:val="none" w:sz="0" w:space="0" w:color="auto"/>
        <w:left w:val="none" w:sz="0" w:space="0" w:color="auto"/>
        <w:bottom w:val="none" w:sz="0" w:space="0" w:color="auto"/>
        <w:right w:val="none" w:sz="0" w:space="0" w:color="auto"/>
      </w:divBdr>
    </w:div>
    <w:div w:id="677928030">
      <w:bodyDiv w:val="1"/>
      <w:marLeft w:val="0"/>
      <w:marRight w:val="0"/>
      <w:marTop w:val="0"/>
      <w:marBottom w:val="0"/>
      <w:divBdr>
        <w:top w:val="none" w:sz="0" w:space="0" w:color="auto"/>
        <w:left w:val="none" w:sz="0" w:space="0" w:color="auto"/>
        <w:bottom w:val="none" w:sz="0" w:space="0" w:color="auto"/>
        <w:right w:val="none" w:sz="0" w:space="0" w:color="auto"/>
      </w:divBdr>
    </w:div>
    <w:div w:id="678045018">
      <w:bodyDiv w:val="1"/>
      <w:marLeft w:val="0"/>
      <w:marRight w:val="0"/>
      <w:marTop w:val="0"/>
      <w:marBottom w:val="0"/>
      <w:divBdr>
        <w:top w:val="none" w:sz="0" w:space="0" w:color="auto"/>
        <w:left w:val="none" w:sz="0" w:space="0" w:color="auto"/>
        <w:bottom w:val="none" w:sz="0" w:space="0" w:color="auto"/>
        <w:right w:val="none" w:sz="0" w:space="0" w:color="auto"/>
      </w:divBdr>
    </w:div>
    <w:div w:id="678119589">
      <w:bodyDiv w:val="1"/>
      <w:marLeft w:val="0"/>
      <w:marRight w:val="0"/>
      <w:marTop w:val="0"/>
      <w:marBottom w:val="0"/>
      <w:divBdr>
        <w:top w:val="none" w:sz="0" w:space="0" w:color="auto"/>
        <w:left w:val="none" w:sz="0" w:space="0" w:color="auto"/>
        <w:bottom w:val="none" w:sz="0" w:space="0" w:color="auto"/>
        <w:right w:val="none" w:sz="0" w:space="0" w:color="auto"/>
      </w:divBdr>
    </w:div>
    <w:div w:id="680352716">
      <w:bodyDiv w:val="1"/>
      <w:marLeft w:val="0"/>
      <w:marRight w:val="0"/>
      <w:marTop w:val="0"/>
      <w:marBottom w:val="0"/>
      <w:divBdr>
        <w:top w:val="none" w:sz="0" w:space="0" w:color="auto"/>
        <w:left w:val="none" w:sz="0" w:space="0" w:color="auto"/>
        <w:bottom w:val="none" w:sz="0" w:space="0" w:color="auto"/>
        <w:right w:val="none" w:sz="0" w:space="0" w:color="auto"/>
      </w:divBdr>
    </w:div>
    <w:div w:id="702176569">
      <w:bodyDiv w:val="1"/>
      <w:marLeft w:val="0"/>
      <w:marRight w:val="0"/>
      <w:marTop w:val="0"/>
      <w:marBottom w:val="0"/>
      <w:divBdr>
        <w:top w:val="none" w:sz="0" w:space="0" w:color="auto"/>
        <w:left w:val="none" w:sz="0" w:space="0" w:color="auto"/>
        <w:bottom w:val="none" w:sz="0" w:space="0" w:color="auto"/>
        <w:right w:val="none" w:sz="0" w:space="0" w:color="auto"/>
      </w:divBdr>
    </w:div>
    <w:div w:id="707923260">
      <w:bodyDiv w:val="1"/>
      <w:marLeft w:val="0"/>
      <w:marRight w:val="0"/>
      <w:marTop w:val="0"/>
      <w:marBottom w:val="0"/>
      <w:divBdr>
        <w:top w:val="none" w:sz="0" w:space="0" w:color="auto"/>
        <w:left w:val="none" w:sz="0" w:space="0" w:color="auto"/>
        <w:bottom w:val="none" w:sz="0" w:space="0" w:color="auto"/>
        <w:right w:val="none" w:sz="0" w:space="0" w:color="auto"/>
      </w:divBdr>
    </w:div>
    <w:div w:id="734091304">
      <w:bodyDiv w:val="1"/>
      <w:marLeft w:val="0"/>
      <w:marRight w:val="0"/>
      <w:marTop w:val="0"/>
      <w:marBottom w:val="0"/>
      <w:divBdr>
        <w:top w:val="none" w:sz="0" w:space="0" w:color="auto"/>
        <w:left w:val="none" w:sz="0" w:space="0" w:color="auto"/>
        <w:bottom w:val="none" w:sz="0" w:space="0" w:color="auto"/>
        <w:right w:val="none" w:sz="0" w:space="0" w:color="auto"/>
      </w:divBdr>
    </w:div>
    <w:div w:id="740325292">
      <w:bodyDiv w:val="1"/>
      <w:marLeft w:val="0"/>
      <w:marRight w:val="0"/>
      <w:marTop w:val="0"/>
      <w:marBottom w:val="0"/>
      <w:divBdr>
        <w:top w:val="none" w:sz="0" w:space="0" w:color="auto"/>
        <w:left w:val="none" w:sz="0" w:space="0" w:color="auto"/>
        <w:bottom w:val="none" w:sz="0" w:space="0" w:color="auto"/>
        <w:right w:val="none" w:sz="0" w:space="0" w:color="auto"/>
      </w:divBdr>
    </w:div>
    <w:div w:id="742261972">
      <w:bodyDiv w:val="1"/>
      <w:marLeft w:val="0"/>
      <w:marRight w:val="0"/>
      <w:marTop w:val="0"/>
      <w:marBottom w:val="0"/>
      <w:divBdr>
        <w:top w:val="none" w:sz="0" w:space="0" w:color="auto"/>
        <w:left w:val="none" w:sz="0" w:space="0" w:color="auto"/>
        <w:bottom w:val="none" w:sz="0" w:space="0" w:color="auto"/>
        <w:right w:val="none" w:sz="0" w:space="0" w:color="auto"/>
      </w:divBdr>
    </w:div>
    <w:div w:id="751584986">
      <w:bodyDiv w:val="1"/>
      <w:marLeft w:val="0"/>
      <w:marRight w:val="0"/>
      <w:marTop w:val="0"/>
      <w:marBottom w:val="0"/>
      <w:divBdr>
        <w:top w:val="none" w:sz="0" w:space="0" w:color="auto"/>
        <w:left w:val="none" w:sz="0" w:space="0" w:color="auto"/>
        <w:bottom w:val="none" w:sz="0" w:space="0" w:color="auto"/>
        <w:right w:val="none" w:sz="0" w:space="0" w:color="auto"/>
      </w:divBdr>
    </w:div>
    <w:div w:id="767778072">
      <w:bodyDiv w:val="1"/>
      <w:marLeft w:val="0"/>
      <w:marRight w:val="0"/>
      <w:marTop w:val="0"/>
      <w:marBottom w:val="0"/>
      <w:divBdr>
        <w:top w:val="none" w:sz="0" w:space="0" w:color="auto"/>
        <w:left w:val="none" w:sz="0" w:space="0" w:color="auto"/>
        <w:bottom w:val="none" w:sz="0" w:space="0" w:color="auto"/>
        <w:right w:val="none" w:sz="0" w:space="0" w:color="auto"/>
      </w:divBdr>
    </w:div>
    <w:div w:id="769008679">
      <w:bodyDiv w:val="1"/>
      <w:marLeft w:val="0"/>
      <w:marRight w:val="0"/>
      <w:marTop w:val="0"/>
      <w:marBottom w:val="0"/>
      <w:divBdr>
        <w:top w:val="none" w:sz="0" w:space="0" w:color="auto"/>
        <w:left w:val="none" w:sz="0" w:space="0" w:color="auto"/>
        <w:bottom w:val="none" w:sz="0" w:space="0" w:color="auto"/>
        <w:right w:val="none" w:sz="0" w:space="0" w:color="auto"/>
      </w:divBdr>
    </w:div>
    <w:div w:id="769550544">
      <w:bodyDiv w:val="1"/>
      <w:marLeft w:val="0"/>
      <w:marRight w:val="0"/>
      <w:marTop w:val="0"/>
      <w:marBottom w:val="0"/>
      <w:divBdr>
        <w:top w:val="none" w:sz="0" w:space="0" w:color="auto"/>
        <w:left w:val="none" w:sz="0" w:space="0" w:color="auto"/>
        <w:bottom w:val="none" w:sz="0" w:space="0" w:color="auto"/>
        <w:right w:val="none" w:sz="0" w:space="0" w:color="auto"/>
      </w:divBdr>
    </w:div>
    <w:div w:id="770204276">
      <w:bodyDiv w:val="1"/>
      <w:marLeft w:val="0"/>
      <w:marRight w:val="0"/>
      <w:marTop w:val="0"/>
      <w:marBottom w:val="0"/>
      <w:divBdr>
        <w:top w:val="none" w:sz="0" w:space="0" w:color="auto"/>
        <w:left w:val="none" w:sz="0" w:space="0" w:color="auto"/>
        <w:bottom w:val="none" w:sz="0" w:space="0" w:color="auto"/>
        <w:right w:val="none" w:sz="0" w:space="0" w:color="auto"/>
      </w:divBdr>
    </w:div>
    <w:div w:id="771434278">
      <w:bodyDiv w:val="1"/>
      <w:marLeft w:val="0"/>
      <w:marRight w:val="0"/>
      <w:marTop w:val="0"/>
      <w:marBottom w:val="0"/>
      <w:divBdr>
        <w:top w:val="none" w:sz="0" w:space="0" w:color="auto"/>
        <w:left w:val="none" w:sz="0" w:space="0" w:color="auto"/>
        <w:bottom w:val="none" w:sz="0" w:space="0" w:color="auto"/>
        <w:right w:val="none" w:sz="0" w:space="0" w:color="auto"/>
      </w:divBdr>
    </w:div>
    <w:div w:id="776288332">
      <w:bodyDiv w:val="1"/>
      <w:marLeft w:val="0"/>
      <w:marRight w:val="0"/>
      <w:marTop w:val="0"/>
      <w:marBottom w:val="0"/>
      <w:divBdr>
        <w:top w:val="none" w:sz="0" w:space="0" w:color="auto"/>
        <w:left w:val="none" w:sz="0" w:space="0" w:color="auto"/>
        <w:bottom w:val="none" w:sz="0" w:space="0" w:color="auto"/>
        <w:right w:val="none" w:sz="0" w:space="0" w:color="auto"/>
      </w:divBdr>
    </w:div>
    <w:div w:id="782648239">
      <w:bodyDiv w:val="1"/>
      <w:marLeft w:val="0"/>
      <w:marRight w:val="0"/>
      <w:marTop w:val="0"/>
      <w:marBottom w:val="0"/>
      <w:divBdr>
        <w:top w:val="none" w:sz="0" w:space="0" w:color="auto"/>
        <w:left w:val="none" w:sz="0" w:space="0" w:color="auto"/>
        <w:bottom w:val="none" w:sz="0" w:space="0" w:color="auto"/>
        <w:right w:val="none" w:sz="0" w:space="0" w:color="auto"/>
      </w:divBdr>
    </w:div>
    <w:div w:id="784811586">
      <w:bodyDiv w:val="1"/>
      <w:marLeft w:val="0"/>
      <w:marRight w:val="0"/>
      <w:marTop w:val="0"/>
      <w:marBottom w:val="0"/>
      <w:divBdr>
        <w:top w:val="none" w:sz="0" w:space="0" w:color="auto"/>
        <w:left w:val="none" w:sz="0" w:space="0" w:color="auto"/>
        <w:bottom w:val="none" w:sz="0" w:space="0" w:color="auto"/>
        <w:right w:val="none" w:sz="0" w:space="0" w:color="auto"/>
      </w:divBdr>
    </w:div>
    <w:div w:id="800463675">
      <w:bodyDiv w:val="1"/>
      <w:marLeft w:val="0"/>
      <w:marRight w:val="0"/>
      <w:marTop w:val="0"/>
      <w:marBottom w:val="0"/>
      <w:divBdr>
        <w:top w:val="none" w:sz="0" w:space="0" w:color="auto"/>
        <w:left w:val="none" w:sz="0" w:space="0" w:color="auto"/>
        <w:bottom w:val="none" w:sz="0" w:space="0" w:color="auto"/>
        <w:right w:val="none" w:sz="0" w:space="0" w:color="auto"/>
      </w:divBdr>
    </w:div>
    <w:div w:id="801194104">
      <w:bodyDiv w:val="1"/>
      <w:marLeft w:val="0"/>
      <w:marRight w:val="0"/>
      <w:marTop w:val="0"/>
      <w:marBottom w:val="0"/>
      <w:divBdr>
        <w:top w:val="none" w:sz="0" w:space="0" w:color="auto"/>
        <w:left w:val="none" w:sz="0" w:space="0" w:color="auto"/>
        <w:bottom w:val="none" w:sz="0" w:space="0" w:color="auto"/>
        <w:right w:val="none" w:sz="0" w:space="0" w:color="auto"/>
      </w:divBdr>
    </w:div>
    <w:div w:id="807211061">
      <w:bodyDiv w:val="1"/>
      <w:marLeft w:val="0"/>
      <w:marRight w:val="0"/>
      <w:marTop w:val="0"/>
      <w:marBottom w:val="0"/>
      <w:divBdr>
        <w:top w:val="none" w:sz="0" w:space="0" w:color="auto"/>
        <w:left w:val="none" w:sz="0" w:space="0" w:color="auto"/>
        <w:bottom w:val="none" w:sz="0" w:space="0" w:color="auto"/>
        <w:right w:val="none" w:sz="0" w:space="0" w:color="auto"/>
      </w:divBdr>
    </w:div>
    <w:div w:id="816191133">
      <w:bodyDiv w:val="1"/>
      <w:marLeft w:val="0"/>
      <w:marRight w:val="0"/>
      <w:marTop w:val="0"/>
      <w:marBottom w:val="0"/>
      <w:divBdr>
        <w:top w:val="none" w:sz="0" w:space="0" w:color="auto"/>
        <w:left w:val="none" w:sz="0" w:space="0" w:color="auto"/>
        <w:bottom w:val="none" w:sz="0" w:space="0" w:color="auto"/>
        <w:right w:val="none" w:sz="0" w:space="0" w:color="auto"/>
      </w:divBdr>
    </w:div>
    <w:div w:id="828210268">
      <w:bodyDiv w:val="1"/>
      <w:marLeft w:val="0"/>
      <w:marRight w:val="0"/>
      <w:marTop w:val="0"/>
      <w:marBottom w:val="0"/>
      <w:divBdr>
        <w:top w:val="none" w:sz="0" w:space="0" w:color="auto"/>
        <w:left w:val="none" w:sz="0" w:space="0" w:color="auto"/>
        <w:bottom w:val="none" w:sz="0" w:space="0" w:color="auto"/>
        <w:right w:val="none" w:sz="0" w:space="0" w:color="auto"/>
      </w:divBdr>
    </w:div>
    <w:div w:id="874077993">
      <w:bodyDiv w:val="1"/>
      <w:marLeft w:val="0"/>
      <w:marRight w:val="0"/>
      <w:marTop w:val="0"/>
      <w:marBottom w:val="0"/>
      <w:divBdr>
        <w:top w:val="none" w:sz="0" w:space="0" w:color="auto"/>
        <w:left w:val="none" w:sz="0" w:space="0" w:color="auto"/>
        <w:bottom w:val="none" w:sz="0" w:space="0" w:color="auto"/>
        <w:right w:val="none" w:sz="0" w:space="0" w:color="auto"/>
      </w:divBdr>
    </w:div>
    <w:div w:id="895894892">
      <w:bodyDiv w:val="1"/>
      <w:marLeft w:val="0"/>
      <w:marRight w:val="0"/>
      <w:marTop w:val="0"/>
      <w:marBottom w:val="0"/>
      <w:divBdr>
        <w:top w:val="none" w:sz="0" w:space="0" w:color="auto"/>
        <w:left w:val="none" w:sz="0" w:space="0" w:color="auto"/>
        <w:bottom w:val="none" w:sz="0" w:space="0" w:color="auto"/>
        <w:right w:val="none" w:sz="0" w:space="0" w:color="auto"/>
      </w:divBdr>
    </w:div>
    <w:div w:id="897281693">
      <w:bodyDiv w:val="1"/>
      <w:marLeft w:val="0"/>
      <w:marRight w:val="0"/>
      <w:marTop w:val="0"/>
      <w:marBottom w:val="0"/>
      <w:divBdr>
        <w:top w:val="none" w:sz="0" w:space="0" w:color="auto"/>
        <w:left w:val="none" w:sz="0" w:space="0" w:color="auto"/>
        <w:bottom w:val="none" w:sz="0" w:space="0" w:color="auto"/>
        <w:right w:val="none" w:sz="0" w:space="0" w:color="auto"/>
      </w:divBdr>
    </w:div>
    <w:div w:id="904800195">
      <w:bodyDiv w:val="1"/>
      <w:marLeft w:val="0"/>
      <w:marRight w:val="0"/>
      <w:marTop w:val="0"/>
      <w:marBottom w:val="0"/>
      <w:divBdr>
        <w:top w:val="none" w:sz="0" w:space="0" w:color="auto"/>
        <w:left w:val="none" w:sz="0" w:space="0" w:color="auto"/>
        <w:bottom w:val="none" w:sz="0" w:space="0" w:color="auto"/>
        <w:right w:val="none" w:sz="0" w:space="0" w:color="auto"/>
      </w:divBdr>
    </w:div>
    <w:div w:id="908727576">
      <w:bodyDiv w:val="1"/>
      <w:marLeft w:val="0"/>
      <w:marRight w:val="0"/>
      <w:marTop w:val="0"/>
      <w:marBottom w:val="0"/>
      <w:divBdr>
        <w:top w:val="none" w:sz="0" w:space="0" w:color="auto"/>
        <w:left w:val="none" w:sz="0" w:space="0" w:color="auto"/>
        <w:bottom w:val="none" w:sz="0" w:space="0" w:color="auto"/>
        <w:right w:val="none" w:sz="0" w:space="0" w:color="auto"/>
      </w:divBdr>
    </w:div>
    <w:div w:id="911159834">
      <w:bodyDiv w:val="1"/>
      <w:marLeft w:val="0"/>
      <w:marRight w:val="0"/>
      <w:marTop w:val="0"/>
      <w:marBottom w:val="0"/>
      <w:divBdr>
        <w:top w:val="none" w:sz="0" w:space="0" w:color="auto"/>
        <w:left w:val="none" w:sz="0" w:space="0" w:color="auto"/>
        <w:bottom w:val="none" w:sz="0" w:space="0" w:color="auto"/>
        <w:right w:val="none" w:sz="0" w:space="0" w:color="auto"/>
      </w:divBdr>
    </w:div>
    <w:div w:id="930237177">
      <w:bodyDiv w:val="1"/>
      <w:marLeft w:val="0"/>
      <w:marRight w:val="0"/>
      <w:marTop w:val="0"/>
      <w:marBottom w:val="0"/>
      <w:divBdr>
        <w:top w:val="none" w:sz="0" w:space="0" w:color="auto"/>
        <w:left w:val="none" w:sz="0" w:space="0" w:color="auto"/>
        <w:bottom w:val="none" w:sz="0" w:space="0" w:color="auto"/>
        <w:right w:val="none" w:sz="0" w:space="0" w:color="auto"/>
      </w:divBdr>
    </w:div>
    <w:div w:id="931938494">
      <w:bodyDiv w:val="1"/>
      <w:marLeft w:val="0"/>
      <w:marRight w:val="0"/>
      <w:marTop w:val="0"/>
      <w:marBottom w:val="0"/>
      <w:divBdr>
        <w:top w:val="none" w:sz="0" w:space="0" w:color="auto"/>
        <w:left w:val="none" w:sz="0" w:space="0" w:color="auto"/>
        <w:bottom w:val="none" w:sz="0" w:space="0" w:color="auto"/>
        <w:right w:val="none" w:sz="0" w:space="0" w:color="auto"/>
      </w:divBdr>
    </w:div>
    <w:div w:id="941491865">
      <w:bodyDiv w:val="1"/>
      <w:marLeft w:val="0"/>
      <w:marRight w:val="0"/>
      <w:marTop w:val="0"/>
      <w:marBottom w:val="0"/>
      <w:divBdr>
        <w:top w:val="none" w:sz="0" w:space="0" w:color="auto"/>
        <w:left w:val="none" w:sz="0" w:space="0" w:color="auto"/>
        <w:bottom w:val="none" w:sz="0" w:space="0" w:color="auto"/>
        <w:right w:val="none" w:sz="0" w:space="0" w:color="auto"/>
      </w:divBdr>
    </w:div>
    <w:div w:id="952712408">
      <w:bodyDiv w:val="1"/>
      <w:marLeft w:val="0"/>
      <w:marRight w:val="0"/>
      <w:marTop w:val="0"/>
      <w:marBottom w:val="0"/>
      <w:divBdr>
        <w:top w:val="none" w:sz="0" w:space="0" w:color="auto"/>
        <w:left w:val="none" w:sz="0" w:space="0" w:color="auto"/>
        <w:bottom w:val="none" w:sz="0" w:space="0" w:color="auto"/>
        <w:right w:val="none" w:sz="0" w:space="0" w:color="auto"/>
      </w:divBdr>
    </w:div>
    <w:div w:id="972447871">
      <w:bodyDiv w:val="1"/>
      <w:marLeft w:val="0"/>
      <w:marRight w:val="0"/>
      <w:marTop w:val="0"/>
      <w:marBottom w:val="0"/>
      <w:divBdr>
        <w:top w:val="none" w:sz="0" w:space="0" w:color="auto"/>
        <w:left w:val="none" w:sz="0" w:space="0" w:color="auto"/>
        <w:bottom w:val="none" w:sz="0" w:space="0" w:color="auto"/>
        <w:right w:val="none" w:sz="0" w:space="0" w:color="auto"/>
      </w:divBdr>
    </w:div>
    <w:div w:id="975337797">
      <w:bodyDiv w:val="1"/>
      <w:marLeft w:val="0"/>
      <w:marRight w:val="0"/>
      <w:marTop w:val="0"/>
      <w:marBottom w:val="0"/>
      <w:divBdr>
        <w:top w:val="none" w:sz="0" w:space="0" w:color="auto"/>
        <w:left w:val="none" w:sz="0" w:space="0" w:color="auto"/>
        <w:bottom w:val="none" w:sz="0" w:space="0" w:color="auto"/>
        <w:right w:val="none" w:sz="0" w:space="0" w:color="auto"/>
      </w:divBdr>
    </w:div>
    <w:div w:id="1011840203">
      <w:bodyDiv w:val="1"/>
      <w:marLeft w:val="0"/>
      <w:marRight w:val="0"/>
      <w:marTop w:val="0"/>
      <w:marBottom w:val="0"/>
      <w:divBdr>
        <w:top w:val="none" w:sz="0" w:space="0" w:color="auto"/>
        <w:left w:val="none" w:sz="0" w:space="0" w:color="auto"/>
        <w:bottom w:val="none" w:sz="0" w:space="0" w:color="auto"/>
        <w:right w:val="none" w:sz="0" w:space="0" w:color="auto"/>
      </w:divBdr>
    </w:div>
    <w:div w:id="1015307144">
      <w:bodyDiv w:val="1"/>
      <w:marLeft w:val="0"/>
      <w:marRight w:val="0"/>
      <w:marTop w:val="0"/>
      <w:marBottom w:val="0"/>
      <w:divBdr>
        <w:top w:val="none" w:sz="0" w:space="0" w:color="auto"/>
        <w:left w:val="none" w:sz="0" w:space="0" w:color="auto"/>
        <w:bottom w:val="none" w:sz="0" w:space="0" w:color="auto"/>
        <w:right w:val="none" w:sz="0" w:space="0" w:color="auto"/>
      </w:divBdr>
    </w:div>
    <w:div w:id="1020425638">
      <w:bodyDiv w:val="1"/>
      <w:marLeft w:val="0"/>
      <w:marRight w:val="0"/>
      <w:marTop w:val="0"/>
      <w:marBottom w:val="0"/>
      <w:divBdr>
        <w:top w:val="none" w:sz="0" w:space="0" w:color="auto"/>
        <w:left w:val="none" w:sz="0" w:space="0" w:color="auto"/>
        <w:bottom w:val="none" w:sz="0" w:space="0" w:color="auto"/>
        <w:right w:val="none" w:sz="0" w:space="0" w:color="auto"/>
      </w:divBdr>
    </w:div>
    <w:div w:id="1031036207">
      <w:bodyDiv w:val="1"/>
      <w:marLeft w:val="0"/>
      <w:marRight w:val="0"/>
      <w:marTop w:val="0"/>
      <w:marBottom w:val="0"/>
      <w:divBdr>
        <w:top w:val="none" w:sz="0" w:space="0" w:color="auto"/>
        <w:left w:val="none" w:sz="0" w:space="0" w:color="auto"/>
        <w:bottom w:val="none" w:sz="0" w:space="0" w:color="auto"/>
        <w:right w:val="none" w:sz="0" w:space="0" w:color="auto"/>
      </w:divBdr>
    </w:div>
    <w:div w:id="1039627153">
      <w:bodyDiv w:val="1"/>
      <w:marLeft w:val="0"/>
      <w:marRight w:val="0"/>
      <w:marTop w:val="0"/>
      <w:marBottom w:val="0"/>
      <w:divBdr>
        <w:top w:val="none" w:sz="0" w:space="0" w:color="auto"/>
        <w:left w:val="none" w:sz="0" w:space="0" w:color="auto"/>
        <w:bottom w:val="none" w:sz="0" w:space="0" w:color="auto"/>
        <w:right w:val="none" w:sz="0" w:space="0" w:color="auto"/>
      </w:divBdr>
    </w:div>
    <w:div w:id="1047876170">
      <w:bodyDiv w:val="1"/>
      <w:marLeft w:val="0"/>
      <w:marRight w:val="0"/>
      <w:marTop w:val="0"/>
      <w:marBottom w:val="0"/>
      <w:divBdr>
        <w:top w:val="none" w:sz="0" w:space="0" w:color="auto"/>
        <w:left w:val="none" w:sz="0" w:space="0" w:color="auto"/>
        <w:bottom w:val="none" w:sz="0" w:space="0" w:color="auto"/>
        <w:right w:val="none" w:sz="0" w:space="0" w:color="auto"/>
      </w:divBdr>
    </w:div>
    <w:div w:id="1069839659">
      <w:bodyDiv w:val="1"/>
      <w:marLeft w:val="0"/>
      <w:marRight w:val="0"/>
      <w:marTop w:val="0"/>
      <w:marBottom w:val="0"/>
      <w:divBdr>
        <w:top w:val="none" w:sz="0" w:space="0" w:color="auto"/>
        <w:left w:val="none" w:sz="0" w:space="0" w:color="auto"/>
        <w:bottom w:val="none" w:sz="0" w:space="0" w:color="auto"/>
        <w:right w:val="none" w:sz="0" w:space="0" w:color="auto"/>
      </w:divBdr>
    </w:div>
    <w:div w:id="1097484655">
      <w:bodyDiv w:val="1"/>
      <w:marLeft w:val="0"/>
      <w:marRight w:val="0"/>
      <w:marTop w:val="0"/>
      <w:marBottom w:val="0"/>
      <w:divBdr>
        <w:top w:val="none" w:sz="0" w:space="0" w:color="auto"/>
        <w:left w:val="none" w:sz="0" w:space="0" w:color="auto"/>
        <w:bottom w:val="none" w:sz="0" w:space="0" w:color="auto"/>
        <w:right w:val="none" w:sz="0" w:space="0" w:color="auto"/>
      </w:divBdr>
    </w:div>
    <w:div w:id="1108893791">
      <w:bodyDiv w:val="1"/>
      <w:marLeft w:val="0"/>
      <w:marRight w:val="0"/>
      <w:marTop w:val="0"/>
      <w:marBottom w:val="0"/>
      <w:divBdr>
        <w:top w:val="none" w:sz="0" w:space="0" w:color="auto"/>
        <w:left w:val="none" w:sz="0" w:space="0" w:color="auto"/>
        <w:bottom w:val="none" w:sz="0" w:space="0" w:color="auto"/>
        <w:right w:val="none" w:sz="0" w:space="0" w:color="auto"/>
      </w:divBdr>
    </w:div>
    <w:div w:id="1111634124">
      <w:bodyDiv w:val="1"/>
      <w:marLeft w:val="0"/>
      <w:marRight w:val="0"/>
      <w:marTop w:val="0"/>
      <w:marBottom w:val="0"/>
      <w:divBdr>
        <w:top w:val="none" w:sz="0" w:space="0" w:color="auto"/>
        <w:left w:val="none" w:sz="0" w:space="0" w:color="auto"/>
        <w:bottom w:val="none" w:sz="0" w:space="0" w:color="auto"/>
        <w:right w:val="none" w:sz="0" w:space="0" w:color="auto"/>
      </w:divBdr>
    </w:div>
    <w:div w:id="1132091986">
      <w:bodyDiv w:val="1"/>
      <w:marLeft w:val="0"/>
      <w:marRight w:val="0"/>
      <w:marTop w:val="0"/>
      <w:marBottom w:val="0"/>
      <w:divBdr>
        <w:top w:val="none" w:sz="0" w:space="0" w:color="auto"/>
        <w:left w:val="none" w:sz="0" w:space="0" w:color="auto"/>
        <w:bottom w:val="none" w:sz="0" w:space="0" w:color="auto"/>
        <w:right w:val="none" w:sz="0" w:space="0" w:color="auto"/>
      </w:divBdr>
    </w:div>
    <w:div w:id="1140876959">
      <w:bodyDiv w:val="1"/>
      <w:marLeft w:val="0"/>
      <w:marRight w:val="0"/>
      <w:marTop w:val="0"/>
      <w:marBottom w:val="0"/>
      <w:divBdr>
        <w:top w:val="none" w:sz="0" w:space="0" w:color="auto"/>
        <w:left w:val="none" w:sz="0" w:space="0" w:color="auto"/>
        <w:bottom w:val="none" w:sz="0" w:space="0" w:color="auto"/>
        <w:right w:val="none" w:sz="0" w:space="0" w:color="auto"/>
      </w:divBdr>
    </w:div>
    <w:div w:id="1142884805">
      <w:bodyDiv w:val="1"/>
      <w:marLeft w:val="0"/>
      <w:marRight w:val="0"/>
      <w:marTop w:val="0"/>
      <w:marBottom w:val="0"/>
      <w:divBdr>
        <w:top w:val="none" w:sz="0" w:space="0" w:color="auto"/>
        <w:left w:val="none" w:sz="0" w:space="0" w:color="auto"/>
        <w:bottom w:val="none" w:sz="0" w:space="0" w:color="auto"/>
        <w:right w:val="none" w:sz="0" w:space="0" w:color="auto"/>
      </w:divBdr>
    </w:div>
    <w:div w:id="1150446215">
      <w:bodyDiv w:val="1"/>
      <w:marLeft w:val="0"/>
      <w:marRight w:val="0"/>
      <w:marTop w:val="0"/>
      <w:marBottom w:val="0"/>
      <w:divBdr>
        <w:top w:val="none" w:sz="0" w:space="0" w:color="auto"/>
        <w:left w:val="none" w:sz="0" w:space="0" w:color="auto"/>
        <w:bottom w:val="none" w:sz="0" w:space="0" w:color="auto"/>
        <w:right w:val="none" w:sz="0" w:space="0" w:color="auto"/>
      </w:divBdr>
    </w:div>
    <w:div w:id="1154445455">
      <w:bodyDiv w:val="1"/>
      <w:marLeft w:val="0"/>
      <w:marRight w:val="0"/>
      <w:marTop w:val="0"/>
      <w:marBottom w:val="0"/>
      <w:divBdr>
        <w:top w:val="none" w:sz="0" w:space="0" w:color="auto"/>
        <w:left w:val="none" w:sz="0" w:space="0" w:color="auto"/>
        <w:bottom w:val="none" w:sz="0" w:space="0" w:color="auto"/>
        <w:right w:val="none" w:sz="0" w:space="0" w:color="auto"/>
      </w:divBdr>
    </w:div>
    <w:div w:id="1162233864">
      <w:bodyDiv w:val="1"/>
      <w:marLeft w:val="0"/>
      <w:marRight w:val="0"/>
      <w:marTop w:val="0"/>
      <w:marBottom w:val="0"/>
      <w:divBdr>
        <w:top w:val="none" w:sz="0" w:space="0" w:color="auto"/>
        <w:left w:val="none" w:sz="0" w:space="0" w:color="auto"/>
        <w:bottom w:val="none" w:sz="0" w:space="0" w:color="auto"/>
        <w:right w:val="none" w:sz="0" w:space="0" w:color="auto"/>
      </w:divBdr>
    </w:div>
    <w:div w:id="1164904423">
      <w:bodyDiv w:val="1"/>
      <w:marLeft w:val="0"/>
      <w:marRight w:val="0"/>
      <w:marTop w:val="0"/>
      <w:marBottom w:val="0"/>
      <w:divBdr>
        <w:top w:val="none" w:sz="0" w:space="0" w:color="auto"/>
        <w:left w:val="none" w:sz="0" w:space="0" w:color="auto"/>
        <w:bottom w:val="none" w:sz="0" w:space="0" w:color="auto"/>
        <w:right w:val="none" w:sz="0" w:space="0" w:color="auto"/>
      </w:divBdr>
    </w:div>
    <w:div w:id="1166359548">
      <w:bodyDiv w:val="1"/>
      <w:marLeft w:val="0"/>
      <w:marRight w:val="0"/>
      <w:marTop w:val="0"/>
      <w:marBottom w:val="0"/>
      <w:divBdr>
        <w:top w:val="none" w:sz="0" w:space="0" w:color="auto"/>
        <w:left w:val="none" w:sz="0" w:space="0" w:color="auto"/>
        <w:bottom w:val="none" w:sz="0" w:space="0" w:color="auto"/>
        <w:right w:val="none" w:sz="0" w:space="0" w:color="auto"/>
      </w:divBdr>
    </w:div>
    <w:div w:id="1175995859">
      <w:bodyDiv w:val="1"/>
      <w:marLeft w:val="0"/>
      <w:marRight w:val="0"/>
      <w:marTop w:val="0"/>
      <w:marBottom w:val="0"/>
      <w:divBdr>
        <w:top w:val="none" w:sz="0" w:space="0" w:color="auto"/>
        <w:left w:val="none" w:sz="0" w:space="0" w:color="auto"/>
        <w:bottom w:val="none" w:sz="0" w:space="0" w:color="auto"/>
        <w:right w:val="none" w:sz="0" w:space="0" w:color="auto"/>
      </w:divBdr>
    </w:div>
    <w:div w:id="1188831649">
      <w:bodyDiv w:val="1"/>
      <w:marLeft w:val="0"/>
      <w:marRight w:val="0"/>
      <w:marTop w:val="0"/>
      <w:marBottom w:val="0"/>
      <w:divBdr>
        <w:top w:val="none" w:sz="0" w:space="0" w:color="auto"/>
        <w:left w:val="none" w:sz="0" w:space="0" w:color="auto"/>
        <w:bottom w:val="none" w:sz="0" w:space="0" w:color="auto"/>
        <w:right w:val="none" w:sz="0" w:space="0" w:color="auto"/>
      </w:divBdr>
    </w:div>
    <w:div w:id="1190408409">
      <w:bodyDiv w:val="1"/>
      <w:marLeft w:val="0"/>
      <w:marRight w:val="0"/>
      <w:marTop w:val="0"/>
      <w:marBottom w:val="0"/>
      <w:divBdr>
        <w:top w:val="none" w:sz="0" w:space="0" w:color="auto"/>
        <w:left w:val="none" w:sz="0" w:space="0" w:color="auto"/>
        <w:bottom w:val="none" w:sz="0" w:space="0" w:color="auto"/>
        <w:right w:val="none" w:sz="0" w:space="0" w:color="auto"/>
      </w:divBdr>
    </w:div>
    <w:div w:id="1193225903">
      <w:bodyDiv w:val="1"/>
      <w:marLeft w:val="0"/>
      <w:marRight w:val="0"/>
      <w:marTop w:val="0"/>
      <w:marBottom w:val="0"/>
      <w:divBdr>
        <w:top w:val="none" w:sz="0" w:space="0" w:color="auto"/>
        <w:left w:val="none" w:sz="0" w:space="0" w:color="auto"/>
        <w:bottom w:val="none" w:sz="0" w:space="0" w:color="auto"/>
        <w:right w:val="none" w:sz="0" w:space="0" w:color="auto"/>
      </w:divBdr>
    </w:div>
    <w:div w:id="1197697902">
      <w:bodyDiv w:val="1"/>
      <w:marLeft w:val="0"/>
      <w:marRight w:val="0"/>
      <w:marTop w:val="0"/>
      <w:marBottom w:val="0"/>
      <w:divBdr>
        <w:top w:val="none" w:sz="0" w:space="0" w:color="auto"/>
        <w:left w:val="none" w:sz="0" w:space="0" w:color="auto"/>
        <w:bottom w:val="none" w:sz="0" w:space="0" w:color="auto"/>
        <w:right w:val="none" w:sz="0" w:space="0" w:color="auto"/>
      </w:divBdr>
    </w:div>
    <w:div w:id="1203320866">
      <w:bodyDiv w:val="1"/>
      <w:marLeft w:val="0"/>
      <w:marRight w:val="0"/>
      <w:marTop w:val="0"/>
      <w:marBottom w:val="0"/>
      <w:divBdr>
        <w:top w:val="none" w:sz="0" w:space="0" w:color="auto"/>
        <w:left w:val="none" w:sz="0" w:space="0" w:color="auto"/>
        <w:bottom w:val="none" w:sz="0" w:space="0" w:color="auto"/>
        <w:right w:val="none" w:sz="0" w:space="0" w:color="auto"/>
      </w:divBdr>
    </w:div>
    <w:div w:id="1221132397">
      <w:bodyDiv w:val="1"/>
      <w:marLeft w:val="0"/>
      <w:marRight w:val="0"/>
      <w:marTop w:val="0"/>
      <w:marBottom w:val="0"/>
      <w:divBdr>
        <w:top w:val="none" w:sz="0" w:space="0" w:color="auto"/>
        <w:left w:val="none" w:sz="0" w:space="0" w:color="auto"/>
        <w:bottom w:val="none" w:sz="0" w:space="0" w:color="auto"/>
        <w:right w:val="none" w:sz="0" w:space="0" w:color="auto"/>
      </w:divBdr>
    </w:div>
    <w:div w:id="1264609797">
      <w:bodyDiv w:val="1"/>
      <w:marLeft w:val="0"/>
      <w:marRight w:val="0"/>
      <w:marTop w:val="0"/>
      <w:marBottom w:val="0"/>
      <w:divBdr>
        <w:top w:val="none" w:sz="0" w:space="0" w:color="auto"/>
        <w:left w:val="none" w:sz="0" w:space="0" w:color="auto"/>
        <w:bottom w:val="none" w:sz="0" w:space="0" w:color="auto"/>
        <w:right w:val="none" w:sz="0" w:space="0" w:color="auto"/>
      </w:divBdr>
    </w:div>
    <w:div w:id="1265923795">
      <w:bodyDiv w:val="1"/>
      <w:marLeft w:val="0"/>
      <w:marRight w:val="0"/>
      <w:marTop w:val="0"/>
      <w:marBottom w:val="0"/>
      <w:divBdr>
        <w:top w:val="none" w:sz="0" w:space="0" w:color="auto"/>
        <w:left w:val="none" w:sz="0" w:space="0" w:color="auto"/>
        <w:bottom w:val="none" w:sz="0" w:space="0" w:color="auto"/>
        <w:right w:val="none" w:sz="0" w:space="0" w:color="auto"/>
      </w:divBdr>
    </w:div>
    <w:div w:id="1267234573">
      <w:bodyDiv w:val="1"/>
      <w:marLeft w:val="0"/>
      <w:marRight w:val="0"/>
      <w:marTop w:val="0"/>
      <w:marBottom w:val="0"/>
      <w:divBdr>
        <w:top w:val="none" w:sz="0" w:space="0" w:color="auto"/>
        <w:left w:val="none" w:sz="0" w:space="0" w:color="auto"/>
        <w:bottom w:val="none" w:sz="0" w:space="0" w:color="auto"/>
        <w:right w:val="none" w:sz="0" w:space="0" w:color="auto"/>
      </w:divBdr>
    </w:div>
    <w:div w:id="1289555631">
      <w:bodyDiv w:val="1"/>
      <w:marLeft w:val="0"/>
      <w:marRight w:val="0"/>
      <w:marTop w:val="0"/>
      <w:marBottom w:val="0"/>
      <w:divBdr>
        <w:top w:val="none" w:sz="0" w:space="0" w:color="auto"/>
        <w:left w:val="none" w:sz="0" w:space="0" w:color="auto"/>
        <w:bottom w:val="none" w:sz="0" w:space="0" w:color="auto"/>
        <w:right w:val="none" w:sz="0" w:space="0" w:color="auto"/>
      </w:divBdr>
    </w:div>
    <w:div w:id="1295137878">
      <w:bodyDiv w:val="1"/>
      <w:marLeft w:val="0"/>
      <w:marRight w:val="0"/>
      <w:marTop w:val="0"/>
      <w:marBottom w:val="0"/>
      <w:divBdr>
        <w:top w:val="none" w:sz="0" w:space="0" w:color="auto"/>
        <w:left w:val="none" w:sz="0" w:space="0" w:color="auto"/>
        <w:bottom w:val="none" w:sz="0" w:space="0" w:color="auto"/>
        <w:right w:val="none" w:sz="0" w:space="0" w:color="auto"/>
      </w:divBdr>
    </w:div>
    <w:div w:id="1305699808">
      <w:bodyDiv w:val="1"/>
      <w:marLeft w:val="0"/>
      <w:marRight w:val="0"/>
      <w:marTop w:val="0"/>
      <w:marBottom w:val="0"/>
      <w:divBdr>
        <w:top w:val="none" w:sz="0" w:space="0" w:color="auto"/>
        <w:left w:val="none" w:sz="0" w:space="0" w:color="auto"/>
        <w:bottom w:val="none" w:sz="0" w:space="0" w:color="auto"/>
        <w:right w:val="none" w:sz="0" w:space="0" w:color="auto"/>
      </w:divBdr>
    </w:div>
    <w:div w:id="1309552011">
      <w:bodyDiv w:val="1"/>
      <w:marLeft w:val="0"/>
      <w:marRight w:val="0"/>
      <w:marTop w:val="0"/>
      <w:marBottom w:val="0"/>
      <w:divBdr>
        <w:top w:val="none" w:sz="0" w:space="0" w:color="auto"/>
        <w:left w:val="none" w:sz="0" w:space="0" w:color="auto"/>
        <w:bottom w:val="none" w:sz="0" w:space="0" w:color="auto"/>
        <w:right w:val="none" w:sz="0" w:space="0" w:color="auto"/>
      </w:divBdr>
    </w:div>
    <w:div w:id="1313025831">
      <w:bodyDiv w:val="1"/>
      <w:marLeft w:val="0"/>
      <w:marRight w:val="0"/>
      <w:marTop w:val="0"/>
      <w:marBottom w:val="0"/>
      <w:divBdr>
        <w:top w:val="none" w:sz="0" w:space="0" w:color="auto"/>
        <w:left w:val="none" w:sz="0" w:space="0" w:color="auto"/>
        <w:bottom w:val="none" w:sz="0" w:space="0" w:color="auto"/>
        <w:right w:val="none" w:sz="0" w:space="0" w:color="auto"/>
      </w:divBdr>
    </w:div>
    <w:div w:id="1316029869">
      <w:bodyDiv w:val="1"/>
      <w:marLeft w:val="0"/>
      <w:marRight w:val="0"/>
      <w:marTop w:val="0"/>
      <w:marBottom w:val="0"/>
      <w:divBdr>
        <w:top w:val="none" w:sz="0" w:space="0" w:color="auto"/>
        <w:left w:val="none" w:sz="0" w:space="0" w:color="auto"/>
        <w:bottom w:val="none" w:sz="0" w:space="0" w:color="auto"/>
        <w:right w:val="none" w:sz="0" w:space="0" w:color="auto"/>
      </w:divBdr>
    </w:div>
    <w:div w:id="1317497001">
      <w:bodyDiv w:val="1"/>
      <w:marLeft w:val="0"/>
      <w:marRight w:val="0"/>
      <w:marTop w:val="0"/>
      <w:marBottom w:val="0"/>
      <w:divBdr>
        <w:top w:val="none" w:sz="0" w:space="0" w:color="auto"/>
        <w:left w:val="none" w:sz="0" w:space="0" w:color="auto"/>
        <w:bottom w:val="none" w:sz="0" w:space="0" w:color="auto"/>
        <w:right w:val="none" w:sz="0" w:space="0" w:color="auto"/>
      </w:divBdr>
    </w:div>
    <w:div w:id="1319307639">
      <w:bodyDiv w:val="1"/>
      <w:marLeft w:val="0"/>
      <w:marRight w:val="0"/>
      <w:marTop w:val="0"/>
      <w:marBottom w:val="0"/>
      <w:divBdr>
        <w:top w:val="none" w:sz="0" w:space="0" w:color="auto"/>
        <w:left w:val="none" w:sz="0" w:space="0" w:color="auto"/>
        <w:bottom w:val="none" w:sz="0" w:space="0" w:color="auto"/>
        <w:right w:val="none" w:sz="0" w:space="0" w:color="auto"/>
      </w:divBdr>
    </w:div>
    <w:div w:id="1387486464">
      <w:bodyDiv w:val="1"/>
      <w:marLeft w:val="0"/>
      <w:marRight w:val="0"/>
      <w:marTop w:val="0"/>
      <w:marBottom w:val="0"/>
      <w:divBdr>
        <w:top w:val="none" w:sz="0" w:space="0" w:color="auto"/>
        <w:left w:val="none" w:sz="0" w:space="0" w:color="auto"/>
        <w:bottom w:val="none" w:sz="0" w:space="0" w:color="auto"/>
        <w:right w:val="none" w:sz="0" w:space="0" w:color="auto"/>
      </w:divBdr>
    </w:div>
    <w:div w:id="1442141371">
      <w:bodyDiv w:val="1"/>
      <w:marLeft w:val="0"/>
      <w:marRight w:val="0"/>
      <w:marTop w:val="0"/>
      <w:marBottom w:val="0"/>
      <w:divBdr>
        <w:top w:val="none" w:sz="0" w:space="0" w:color="auto"/>
        <w:left w:val="none" w:sz="0" w:space="0" w:color="auto"/>
        <w:bottom w:val="none" w:sz="0" w:space="0" w:color="auto"/>
        <w:right w:val="none" w:sz="0" w:space="0" w:color="auto"/>
      </w:divBdr>
    </w:div>
    <w:div w:id="1462461892">
      <w:bodyDiv w:val="1"/>
      <w:marLeft w:val="0"/>
      <w:marRight w:val="0"/>
      <w:marTop w:val="0"/>
      <w:marBottom w:val="0"/>
      <w:divBdr>
        <w:top w:val="none" w:sz="0" w:space="0" w:color="auto"/>
        <w:left w:val="none" w:sz="0" w:space="0" w:color="auto"/>
        <w:bottom w:val="none" w:sz="0" w:space="0" w:color="auto"/>
        <w:right w:val="none" w:sz="0" w:space="0" w:color="auto"/>
      </w:divBdr>
    </w:div>
    <w:div w:id="1492868392">
      <w:bodyDiv w:val="1"/>
      <w:marLeft w:val="0"/>
      <w:marRight w:val="0"/>
      <w:marTop w:val="0"/>
      <w:marBottom w:val="0"/>
      <w:divBdr>
        <w:top w:val="none" w:sz="0" w:space="0" w:color="auto"/>
        <w:left w:val="none" w:sz="0" w:space="0" w:color="auto"/>
        <w:bottom w:val="none" w:sz="0" w:space="0" w:color="auto"/>
        <w:right w:val="none" w:sz="0" w:space="0" w:color="auto"/>
      </w:divBdr>
    </w:div>
    <w:div w:id="1502627088">
      <w:bodyDiv w:val="1"/>
      <w:marLeft w:val="0"/>
      <w:marRight w:val="0"/>
      <w:marTop w:val="0"/>
      <w:marBottom w:val="0"/>
      <w:divBdr>
        <w:top w:val="none" w:sz="0" w:space="0" w:color="auto"/>
        <w:left w:val="none" w:sz="0" w:space="0" w:color="auto"/>
        <w:bottom w:val="none" w:sz="0" w:space="0" w:color="auto"/>
        <w:right w:val="none" w:sz="0" w:space="0" w:color="auto"/>
      </w:divBdr>
    </w:div>
    <w:div w:id="1531796965">
      <w:bodyDiv w:val="1"/>
      <w:marLeft w:val="0"/>
      <w:marRight w:val="0"/>
      <w:marTop w:val="0"/>
      <w:marBottom w:val="0"/>
      <w:divBdr>
        <w:top w:val="none" w:sz="0" w:space="0" w:color="auto"/>
        <w:left w:val="none" w:sz="0" w:space="0" w:color="auto"/>
        <w:bottom w:val="none" w:sz="0" w:space="0" w:color="auto"/>
        <w:right w:val="none" w:sz="0" w:space="0" w:color="auto"/>
      </w:divBdr>
    </w:div>
    <w:div w:id="1546792639">
      <w:bodyDiv w:val="1"/>
      <w:marLeft w:val="0"/>
      <w:marRight w:val="0"/>
      <w:marTop w:val="0"/>
      <w:marBottom w:val="0"/>
      <w:divBdr>
        <w:top w:val="none" w:sz="0" w:space="0" w:color="auto"/>
        <w:left w:val="none" w:sz="0" w:space="0" w:color="auto"/>
        <w:bottom w:val="none" w:sz="0" w:space="0" w:color="auto"/>
        <w:right w:val="none" w:sz="0" w:space="0" w:color="auto"/>
      </w:divBdr>
    </w:div>
    <w:div w:id="1574583631">
      <w:bodyDiv w:val="1"/>
      <w:marLeft w:val="0"/>
      <w:marRight w:val="0"/>
      <w:marTop w:val="0"/>
      <w:marBottom w:val="0"/>
      <w:divBdr>
        <w:top w:val="none" w:sz="0" w:space="0" w:color="auto"/>
        <w:left w:val="none" w:sz="0" w:space="0" w:color="auto"/>
        <w:bottom w:val="none" w:sz="0" w:space="0" w:color="auto"/>
        <w:right w:val="none" w:sz="0" w:space="0" w:color="auto"/>
      </w:divBdr>
    </w:div>
    <w:div w:id="1643197049">
      <w:bodyDiv w:val="1"/>
      <w:marLeft w:val="0"/>
      <w:marRight w:val="0"/>
      <w:marTop w:val="0"/>
      <w:marBottom w:val="0"/>
      <w:divBdr>
        <w:top w:val="none" w:sz="0" w:space="0" w:color="auto"/>
        <w:left w:val="none" w:sz="0" w:space="0" w:color="auto"/>
        <w:bottom w:val="none" w:sz="0" w:space="0" w:color="auto"/>
        <w:right w:val="none" w:sz="0" w:space="0" w:color="auto"/>
      </w:divBdr>
    </w:div>
    <w:div w:id="1647054431">
      <w:bodyDiv w:val="1"/>
      <w:marLeft w:val="0"/>
      <w:marRight w:val="0"/>
      <w:marTop w:val="0"/>
      <w:marBottom w:val="0"/>
      <w:divBdr>
        <w:top w:val="none" w:sz="0" w:space="0" w:color="auto"/>
        <w:left w:val="none" w:sz="0" w:space="0" w:color="auto"/>
        <w:bottom w:val="none" w:sz="0" w:space="0" w:color="auto"/>
        <w:right w:val="none" w:sz="0" w:space="0" w:color="auto"/>
      </w:divBdr>
    </w:div>
    <w:div w:id="1654094329">
      <w:bodyDiv w:val="1"/>
      <w:marLeft w:val="0"/>
      <w:marRight w:val="0"/>
      <w:marTop w:val="0"/>
      <w:marBottom w:val="0"/>
      <w:divBdr>
        <w:top w:val="none" w:sz="0" w:space="0" w:color="auto"/>
        <w:left w:val="none" w:sz="0" w:space="0" w:color="auto"/>
        <w:bottom w:val="none" w:sz="0" w:space="0" w:color="auto"/>
        <w:right w:val="none" w:sz="0" w:space="0" w:color="auto"/>
      </w:divBdr>
    </w:div>
    <w:div w:id="1680808200">
      <w:bodyDiv w:val="1"/>
      <w:marLeft w:val="0"/>
      <w:marRight w:val="0"/>
      <w:marTop w:val="0"/>
      <w:marBottom w:val="0"/>
      <w:divBdr>
        <w:top w:val="none" w:sz="0" w:space="0" w:color="auto"/>
        <w:left w:val="none" w:sz="0" w:space="0" w:color="auto"/>
        <w:bottom w:val="none" w:sz="0" w:space="0" w:color="auto"/>
        <w:right w:val="none" w:sz="0" w:space="0" w:color="auto"/>
      </w:divBdr>
    </w:div>
    <w:div w:id="1682199355">
      <w:bodyDiv w:val="1"/>
      <w:marLeft w:val="0"/>
      <w:marRight w:val="0"/>
      <w:marTop w:val="0"/>
      <w:marBottom w:val="0"/>
      <w:divBdr>
        <w:top w:val="none" w:sz="0" w:space="0" w:color="auto"/>
        <w:left w:val="none" w:sz="0" w:space="0" w:color="auto"/>
        <w:bottom w:val="none" w:sz="0" w:space="0" w:color="auto"/>
        <w:right w:val="none" w:sz="0" w:space="0" w:color="auto"/>
      </w:divBdr>
    </w:div>
    <w:div w:id="1702513831">
      <w:bodyDiv w:val="1"/>
      <w:marLeft w:val="0"/>
      <w:marRight w:val="0"/>
      <w:marTop w:val="0"/>
      <w:marBottom w:val="0"/>
      <w:divBdr>
        <w:top w:val="none" w:sz="0" w:space="0" w:color="auto"/>
        <w:left w:val="none" w:sz="0" w:space="0" w:color="auto"/>
        <w:bottom w:val="none" w:sz="0" w:space="0" w:color="auto"/>
        <w:right w:val="none" w:sz="0" w:space="0" w:color="auto"/>
      </w:divBdr>
    </w:div>
    <w:div w:id="1725329387">
      <w:bodyDiv w:val="1"/>
      <w:marLeft w:val="0"/>
      <w:marRight w:val="0"/>
      <w:marTop w:val="0"/>
      <w:marBottom w:val="0"/>
      <w:divBdr>
        <w:top w:val="none" w:sz="0" w:space="0" w:color="auto"/>
        <w:left w:val="none" w:sz="0" w:space="0" w:color="auto"/>
        <w:bottom w:val="none" w:sz="0" w:space="0" w:color="auto"/>
        <w:right w:val="none" w:sz="0" w:space="0" w:color="auto"/>
      </w:divBdr>
    </w:div>
    <w:div w:id="1727336767">
      <w:bodyDiv w:val="1"/>
      <w:marLeft w:val="0"/>
      <w:marRight w:val="0"/>
      <w:marTop w:val="0"/>
      <w:marBottom w:val="0"/>
      <w:divBdr>
        <w:top w:val="none" w:sz="0" w:space="0" w:color="auto"/>
        <w:left w:val="none" w:sz="0" w:space="0" w:color="auto"/>
        <w:bottom w:val="none" w:sz="0" w:space="0" w:color="auto"/>
        <w:right w:val="none" w:sz="0" w:space="0" w:color="auto"/>
      </w:divBdr>
    </w:div>
    <w:div w:id="1752239516">
      <w:bodyDiv w:val="1"/>
      <w:marLeft w:val="0"/>
      <w:marRight w:val="0"/>
      <w:marTop w:val="0"/>
      <w:marBottom w:val="0"/>
      <w:divBdr>
        <w:top w:val="none" w:sz="0" w:space="0" w:color="auto"/>
        <w:left w:val="none" w:sz="0" w:space="0" w:color="auto"/>
        <w:bottom w:val="none" w:sz="0" w:space="0" w:color="auto"/>
        <w:right w:val="none" w:sz="0" w:space="0" w:color="auto"/>
      </w:divBdr>
    </w:div>
    <w:div w:id="1753771204">
      <w:bodyDiv w:val="1"/>
      <w:marLeft w:val="0"/>
      <w:marRight w:val="0"/>
      <w:marTop w:val="0"/>
      <w:marBottom w:val="0"/>
      <w:divBdr>
        <w:top w:val="none" w:sz="0" w:space="0" w:color="auto"/>
        <w:left w:val="none" w:sz="0" w:space="0" w:color="auto"/>
        <w:bottom w:val="none" w:sz="0" w:space="0" w:color="auto"/>
        <w:right w:val="none" w:sz="0" w:space="0" w:color="auto"/>
      </w:divBdr>
    </w:div>
    <w:div w:id="1761637961">
      <w:bodyDiv w:val="1"/>
      <w:marLeft w:val="0"/>
      <w:marRight w:val="0"/>
      <w:marTop w:val="0"/>
      <w:marBottom w:val="0"/>
      <w:divBdr>
        <w:top w:val="none" w:sz="0" w:space="0" w:color="auto"/>
        <w:left w:val="none" w:sz="0" w:space="0" w:color="auto"/>
        <w:bottom w:val="none" w:sz="0" w:space="0" w:color="auto"/>
        <w:right w:val="none" w:sz="0" w:space="0" w:color="auto"/>
      </w:divBdr>
    </w:div>
    <w:div w:id="1774084241">
      <w:bodyDiv w:val="1"/>
      <w:marLeft w:val="0"/>
      <w:marRight w:val="0"/>
      <w:marTop w:val="0"/>
      <w:marBottom w:val="0"/>
      <w:divBdr>
        <w:top w:val="none" w:sz="0" w:space="0" w:color="auto"/>
        <w:left w:val="none" w:sz="0" w:space="0" w:color="auto"/>
        <w:bottom w:val="none" w:sz="0" w:space="0" w:color="auto"/>
        <w:right w:val="none" w:sz="0" w:space="0" w:color="auto"/>
      </w:divBdr>
    </w:div>
    <w:div w:id="1797331023">
      <w:bodyDiv w:val="1"/>
      <w:marLeft w:val="0"/>
      <w:marRight w:val="0"/>
      <w:marTop w:val="0"/>
      <w:marBottom w:val="0"/>
      <w:divBdr>
        <w:top w:val="none" w:sz="0" w:space="0" w:color="auto"/>
        <w:left w:val="none" w:sz="0" w:space="0" w:color="auto"/>
        <w:bottom w:val="none" w:sz="0" w:space="0" w:color="auto"/>
        <w:right w:val="none" w:sz="0" w:space="0" w:color="auto"/>
      </w:divBdr>
    </w:div>
    <w:div w:id="1800343139">
      <w:bodyDiv w:val="1"/>
      <w:marLeft w:val="0"/>
      <w:marRight w:val="0"/>
      <w:marTop w:val="0"/>
      <w:marBottom w:val="0"/>
      <w:divBdr>
        <w:top w:val="none" w:sz="0" w:space="0" w:color="auto"/>
        <w:left w:val="none" w:sz="0" w:space="0" w:color="auto"/>
        <w:bottom w:val="none" w:sz="0" w:space="0" w:color="auto"/>
        <w:right w:val="none" w:sz="0" w:space="0" w:color="auto"/>
      </w:divBdr>
    </w:div>
    <w:div w:id="1820340003">
      <w:bodyDiv w:val="1"/>
      <w:marLeft w:val="0"/>
      <w:marRight w:val="0"/>
      <w:marTop w:val="0"/>
      <w:marBottom w:val="0"/>
      <w:divBdr>
        <w:top w:val="none" w:sz="0" w:space="0" w:color="auto"/>
        <w:left w:val="none" w:sz="0" w:space="0" w:color="auto"/>
        <w:bottom w:val="none" w:sz="0" w:space="0" w:color="auto"/>
        <w:right w:val="none" w:sz="0" w:space="0" w:color="auto"/>
      </w:divBdr>
    </w:div>
    <w:div w:id="1836845608">
      <w:bodyDiv w:val="1"/>
      <w:marLeft w:val="0"/>
      <w:marRight w:val="0"/>
      <w:marTop w:val="0"/>
      <w:marBottom w:val="0"/>
      <w:divBdr>
        <w:top w:val="none" w:sz="0" w:space="0" w:color="auto"/>
        <w:left w:val="none" w:sz="0" w:space="0" w:color="auto"/>
        <w:bottom w:val="none" w:sz="0" w:space="0" w:color="auto"/>
        <w:right w:val="none" w:sz="0" w:space="0" w:color="auto"/>
      </w:divBdr>
    </w:div>
    <w:div w:id="1838497179">
      <w:bodyDiv w:val="1"/>
      <w:marLeft w:val="0"/>
      <w:marRight w:val="0"/>
      <w:marTop w:val="0"/>
      <w:marBottom w:val="0"/>
      <w:divBdr>
        <w:top w:val="none" w:sz="0" w:space="0" w:color="auto"/>
        <w:left w:val="none" w:sz="0" w:space="0" w:color="auto"/>
        <w:bottom w:val="none" w:sz="0" w:space="0" w:color="auto"/>
        <w:right w:val="none" w:sz="0" w:space="0" w:color="auto"/>
      </w:divBdr>
    </w:div>
    <w:div w:id="1840078291">
      <w:bodyDiv w:val="1"/>
      <w:marLeft w:val="0"/>
      <w:marRight w:val="0"/>
      <w:marTop w:val="0"/>
      <w:marBottom w:val="0"/>
      <w:divBdr>
        <w:top w:val="none" w:sz="0" w:space="0" w:color="auto"/>
        <w:left w:val="none" w:sz="0" w:space="0" w:color="auto"/>
        <w:bottom w:val="none" w:sz="0" w:space="0" w:color="auto"/>
        <w:right w:val="none" w:sz="0" w:space="0" w:color="auto"/>
      </w:divBdr>
    </w:div>
    <w:div w:id="1863203908">
      <w:bodyDiv w:val="1"/>
      <w:marLeft w:val="0"/>
      <w:marRight w:val="0"/>
      <w:marTop w:val="0"/>
      <w:marBottom w:val="0"/>
      <w:divBdr>
        <w:top w:val="none" w:sz="0" w:space="0" w:color="auto"/>
        <w:left w:val="none" w:sz="0" w:space="0" w:color="auto"/>
        <w:bottom w:val="none" w:sz="0" w:space="0" w:color="auto"/>
        <w:right w:val="none" w:sz="0" w:space="0" w:color="auto"/>
      </w:divBdr>
    </w:div>
    <w:div w:id="1865557783">
      <w:bodyDiv w:val="1"/>
      <w:marLeft w:val="0"/>
      <w:marRight w:val="0"/>
      <w:marTop w:val="0"/>
      <w:marBottom w:val="0"/>
      <w:divBdr>
        <w:top w:val="none" w:sz="0" w:space="0" w:color="auto"/>
        <w:left w:val="none" w:sz="0" w:space="0" w:color="auto"/>
        <w:bottom w:val="none" w:sz="0" w:space="0" w:color="auto"/>
        <w:right w:val="none" w:sz="0" w:space="0" w:color="auto"/>
      </w:divBdr>
    </w:div>
    <w:div w:id="1870335116">
      <w:bodyDiv w:val="1"/>
      <w:marLeft w:val="0"/>
      <w:marRight w:val="0"/>
      <w:marTop w:val="0"/>
      <w:marBottom w:val="0"/>
      <w:divBdr>
        <w:top w:val="none" w:sz="0" w:space="0" w:color="auto"/>
        <w:left w:val="none" w:sz="0" w:space="0" w:color="auto"/>
        <w:bottom w:val="none" w:sz="0" w:space="0" w:color="auto"/>
        <w:right w:val="none" w:sz="0" w:space="0" w:color="auto"/>
      </w:divBdr>
    </w:div>
    <w:div w:id="1878736703">
      <w:bodyDiv w:val="1"/>
      <w:marLeft w:val="0"/>
      <w:marRight w:val="0"/>
      <w:marTop w:val="0"/>
      <w:marBottom w:val="0"/>
      <w:divBdr>
        <w:top w:val="none" w:sz="0" w:space="0" w:color="auto"/>
        <w:left w:val="none" w:sz="0" w:space="0" w:color="auto"/>
        <w:bottom w:val="none" w:sz="0" w:space="0" w:color="auto"/>
        <w:right w:val="none" w:sz="0" w:space="0" w:color="auto"/>
      </w:divBdr>
    </w:div>
    <w:div w:id="1885486140">
      <w:bodyDiv w:val="1"/>
      <w:marLeft w:val="0"/>
      <w:marRight w:val="0"/>
      <w:marTop w:val="0"/>
      <w:marBottom w:val="0"/>
      <w:divBdr>
        <w:top w:val="none" w:sz="0" w:space="0" w:color="auto"/>
        <w:left w:val="none" w:sz="0" w:space="0" w:color="auto"/>
        <w:bottom w:val="none" w:sz="0" w:space="0" w:color="auto"/>
        <w:right w:val="none" w:sz="0" w:space="0" w:color="auto"/>
      </w:divBdr>
    </w:div>
    <w:div w:id="1895853701">
      <w:bodyDiv w:val="1"/>
      <w:marLeft w:val="0"/>
      <w:marRight w:val="0"/>
      <w:marTop w:val="0"/>
      <w:marBottom w:val="0"/>
      <w:divBdr>
        <w:top w:val="none" w:sz="0" w:space="0" w:color="auto"/>
        <w:left w:val="none" w:sz="0" w:space="0" w:color="auto"/>
        <w:bottom w:val="none" w:sz="0" w:space="0" w:color="auto"/>
        <w:right w:val="none" w:sz="0" w:space="0" w:color="auto"/>
      </w:divBdr>
    </w:div>
    <w:div w:id="1898858178">
      <w:bodyDiv w:val="1"/>
      <w:marLeft w:val="0"/>
      <w:marRight w:val="0"/>
      <w:marTop w:val="0"/>
      <w:marBottom w:val="0"/>
      <w:divBdr>
        <w:top w:val="none" w:sz="0" w:space="0" w:color="auto"/>
        <w:left w:val="none" w:sz="0" w:space="0" w:color="auto"/>
        <w:bottom w:val="none" w:sz="0" w:space="0" w:color="auto"/>
        <w:right w:val="none" w:sz="0" w:space="0" w:color="auto"/>
      </w:divBdr>
    </w:div>
    <w:div w:id="1901552411">
      <w:bodyDiv w:val="1"/>
      <w:marLeft w:val="0"/>
      <w:marRight w:val="0"/>
      <w:marTop w:val="0"/>
      <w:marBottom w:val="0"/>
      <w:divBdr>
        <w:top w:val="none" w:sz="0" w:space="0" w:color="auto"/>
        <w:left w:val="none" w:sz="0" w:space="0" w:color="auto"/>
        <w:bottom w:val="none" w:sz="0" w:space="0" w:color="auto"/>
        <w:right w:val="none" w:sz="0" w:space="0" w:color="auto"/>
      </w:divBdr>
    </w:div>
    <w:div w:id="1909150398">
      <w:bodyDiv w:val="1"/>
      <w:marLeft w:val="0"/>
      <w:marRight w:val="0"/>
      <w:marTop w:val="0"/>
      <w:marBottom w:val="0"/>
      <w:divBdr>
        <w:top w:val="none" w:sz="0" w:space="0" w:color="auto"/>
        <w:left w:val="none" w:sz="0" w:space="0" w:color="auto"/>
        <w:bottom w:val="none" w:sz="0" w:space="0" w:color="auto"/>
        <w:right w:val="none" w:sz="0" w:space="0" w:color="auto"/>
      </w:divBdr>
    </w:div>
    <w:div w:id="1923950325">
      <w:bodyDiv w:val="1"/>
      <w:marLeft w:val="0"/>
      <w:marRight w:val="0"/>
      <w:marTop w:val="0"/>
      <w:marBottom w:val="0"/>
      <w:divBdr>
        <w:top w:val="none" w:sz="0" w:space="0" w:color="auto"/>
        <w:left w:val="none" w:sz="0" w:space="0" w:color="auto"/>
        <w:bottom w:val="none" w:sz="0" w:space="0" w:color="auto"/>
        <w:right w:val="none" w:sz="0" w:space="0" w:color="auto"/>
      </w:divBdr>
    </w:div>
    <w:div w:id="1941910336">
      <w:bodyDiv w:val="1"/>
      <w:marLeft w:val="0"/>
      <w:marRight w:val="0"/>
      <w:marTop w:val="0"/>
      <w:marBottom w:val="0"/>
      <w:divBdr>
        <w:top w:val="none" w:sz="0" w:space="0" w:color="auto"/>
        <w:left w:val="none" w:sz="0" w:space="0" w:color="auto"/>
        <w:bottom w:val="none" w:sz="0" w:space="0" w:color="auto"/>
        <w:right w:val="none" w:sz="0" w:space="0" w:color="auto"/>
      </w:divBdr>
    </w:div>
    <w:div w:id="1948386047">
      <w:bodyDiv w:val="1"/>
      <w:marLeft w:val="0"/>
      <w:marRight w:val="0"/>
      <w:marTop w:val="0"/>
      <w:marBottom w:val="0"/>
      <w:divBdr>
        <w:top w:val="none" w:sz="0" w:space="0" w:color="auto"/>
        <w:left w:val="none" w:sz="0" w:space="0" w:color="auto"/>
        <w:bottom w:val="none" w:sz="0" w:space="0" w:color="auto"/>
        <w:right w:val="none" w:sz="0" w:space="0" w:color="auto"/>
      </w:divBdr>
    </w:div>
    <w:div w:id="1954897750">
      <w:bodyDiv w:val="1"/>
      <w:marLeft w:val="0"/>
      <w:marRight w:val="0"/>
      <w:marTop w:val="0"/>
      <w:marBottom w:val="0"/>
      <w:divBdr>
        <w:top w:val="none" w:sz="0" w:space="0" w:color="auto"/>
        <w:left w:val="none" w:sz="0" w:space="0" w:color="auto"/>
        <w:bottom w:val="none" w:sz="0" w:space="0" w:color="auto"/>
        <w:right w:val="none" w:sz="0" w:space="0" w:color="auto"/>
      </w:divBdr>
    </w:div>
    <w:div w:id="1965303516">
      <w:bodyDiv w:val="1"/>
      <w:marLeft w:val="0"/>
      <w:marRight w:val="0"/>
      <w:marTop w:val="0"/>
      <w:marBottom w:val="0"/>
      <w:divBdr>
        <w:top w:val="none" w:sz="0" w:space="0" w:color="auto"/>
        <w:left w:val="none" w:sz="0" w:space="0" w:color="auto"/>
        <w:bottom w:val="none" w:sz="0" w:space="0" w:color="auto"/>
        <w:right w:val="none" w:sz="0" w:space="0" w:color="auto"/>
      </w:divBdr>
    </w:div>
    <w:div w:id="1970819566">
      <w:bodyDiv w:val="1"/>
      <w:marLeft w:val="0"/>
      <w:marRight w:val="0"/>
      <w:marTop w:val="0"/>
      <w:marBottom w:val="0"/>
      <w:divBdr>
        <w:top w:val="none" w:sz="0" w:space="0" w:color="auto"/>
        <w:left w:val="none" w:sz="0" w:space="0" w:color="auto"/>
        <w:bottom w:val="none" w:sz="0" w:space="0" w:color="auto"/>
        <w:right w:val="none" w:sz="0" w:space="0" w:color="auto"/>
      </w:divBdr>
    </w:div>
    <w:div w:id="1981690388">
      <w:bodyDiv w:val="1"/>
      <w:marLeft w:val="0"/>
      <w:marRight w:val="0"/>
      <w:marTop w:val="0"/>
      <w:marBottom w:val="0"/>
      <w:divBdr>
        <w:top w:val="none" w:sz="0" w:space="0" w:color="auto"/>
        <w:left w:val="none" w:sz="0" w:space="0" w:color="auto"/>
        <w:bottom w:val="none" w:sz="0" w:space="0" w:color="auto"/>
        <w:right w:val="none" w:sz="0" w:space="0" w:color="auto"/>
      </w:divBdr>
    </w:div>
    <w:div w:id="1983578915">
      <w:bodyDiv w:val="1"/>
      <w:marLeft w:val="0"/>
      <w:marRight w:val="0"/>
      <w:marTop w:val="0"/>
      <w:marBottom w:val="0"/>
      <w:divBdr>
        <w:top w:val="none" w:sz="0" w:space="0" w:color="auto"/>
        <w:left w:val="none" w:sz="0" w:space="0" w:color="auto"/>
        <w:bottom w:val="none" w:sz="0" w:space="0" w:color="auto"/>
        <w:right w:val="none" w:sz="0" w:space="0" w:color="auto"/>
      </w:divBdr>
    </w:div>
    <w:div w:id="1989935710">
      <w:bodyDiv w:val="1"/>
      <w:marLeft w:val="0"/>
      <w:marRight w:val="0"/>
      <w:marTop w:val="0"/>
      <w:marBottom w:val="0"/>
      <w:divBdr>
        <w:top w:val="none" w:sz="0" w:space="0" w:color="auto"/>
        <w:left w:val="none" w:sz="0" w:space="0" w:color="auto"/>
        <w:bottom w:val="none" w:sz="0" w:space="0" w:color="auto"/>
        <w:right w:val="none" w:sz="0" w:space="0" w:color="auto"/>
      </w:divBdr>
    </w:div>
    <w:div w:id="1999113194">
      <w:bodyDiv w:val="1"/>
      <w:marLeft w:val="0"/>
      <w:marRight w:val="0"/>
      <w:marTop w:val="0"/>
      <w:marBottom w:val="0"/>
      <w:divBdr>
        <w:top w:val="none" w:sz="0" w:space="0" w:color="auto"/>
        <w:left w:val="none" w:sz="0" w:space="0" w:color="auto"/>
        <w:bottom w:val="none" w:sz="0" w:space="0" w:color="auto"/>
        <w:right w:val="none" w:sz="0" w:space="0" w:color="auto"/>
      </w:divBdr>
    </w:div>
    <w:div w:id="2010869532">
      <w:bodyDiv w:val="1"/>
      <w:marLeft w:val="0"/>
      <w:marRight w:val="0"/>
      <w:marTop w:val="0"/>
      <w:marBottom w:val="0"/>
      <w:divBdr>
        <w:top w:val="none" w:sz="0" w:space="0" w:color="auto"/>
        <w:left w:val="none" w:sz="0" w:space="0" w:color="auto"/>
        <w:bottom w:val="none" w:sz="0" w:space="0" w:color="auto"/>
        <w:right w:val="none" w:sz="0" w:space="0" w:color="auto"/>
      </w:divBdr>
    </w:div>
    <w:div w:id="2012751311">
      <w:bodyDiv w:val="1"/>
      <w:marLeft w:val="0"/>
      <w:marRight w:val="0"/>
      <w:marTop w:val="0"/>
      <w:marBottom w:val="0"/>
      <w:divBdr>
        <w:top w:val="none" w:sz="0" w:space="0" w:color="auto"/>
        <w:left w:val="none" w:sz="0" w:space="0" w:color="auto"/>
        <w:bottom w:val="none" w:sz="0" w:space="0" w:color="auto"/>
        <w:right w:val="none" w:sz="0" w:space="0" w:color="auto"/>
      </w:divBdr>
    </w:div>
    <w:div w:id="2023698625">
      <w:bodyDiv w:val="1"/>
      <w:marLeft w:val="0"/>
      <w:marRight w:val="0"/>
      <w:marTop w:val="0"/>
      <w:marBottom w:val="0"/>
      <w:divBdr>
        <w:top w:val="none" w:sz="0" w:space="0" w:color="auto"/>
        <w:left w:val="none" w:sz="0" w:space="0" w:color="auto"/>
        <w:bottom w:val="none" w:sz="0" w:space="0" w:color="auto"/>
        <w:right w:val="none" w:sz="0" w:space="0" w:color="auto"/>
      </w:divBdr>
    </w:div>
    <w:div w:id="205025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hyperlink" Target="http://www.agriculture.gov.au/abares/publications/display?url=http://143.188.17.20/anrdl/DAFFService/display.php%3Ffid%3Dpb_awmr_d9aawr20161202.xml" TargetMode="External"/><Relationship Id="rId42" Type="http://schemas.openxmlformats.org/officeDocument/2006/relationships/hyperlink" Target="http://www.aither.com.au/insights/published/" TargetMode="External"/><Relationship Id="rId47" Type="http://schemas.openxmlformats.org/officeDocument/2006/relationships/hyperlink" Target="https://www.csiro.au/en/Research/LWF/Areas/Water-resources/Assessing-water-resources/Sustainable-yields/MurrayDarlingBasin" TargetMode="External"/><Relationship Id="rId50" Type="http://schemas.openxmlformats.org/officeDocument/2006/relationships/hyperlink" Target="http://www.environment.sa.gov.au/managing-natural-resources/river-murray/water-allocation-and-carryover/water-allocations-and-announcements" TargetMode="External"/><Relationship Id="rId55" Type="http://schemas.openxmlformats.org/officeDocument/2006/relationships/hyperlink" Target="http://www.murrayirrigation.com.au/water/water-trade/water-exchange/" TargetMode="External"/><Relationship Id="rId63" Type="http://schemas.openxmlformats.org/officeDocument/2006/relationships/image" Target="media/image16.png"/><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hyperlink" Target="mailto:copyright@agriculture.gov.au" TargetMode="External"/><Relationship Id="rId24" Type="http://schemas.openxmlformats.org/officeDocument/2006/relationships/image" Target="media/image7.png"/><Relationship Id="rId32" Type="http://schemas.openxmlformats.org/officeDocument/2006/relationships/hyperlink" Target="http://www.agriculture.gov.au/abares/publications/display?url=http://143.188.17.20/anrdl/DAFFService/display.php%3Ffid%3Dpb_awmr_d9aawr20151211.xml" TargetMode="External"/><Relationship Id="rId37" Type="http://schemas.openxmlformats.org/officeDocument/2006/relationships/hyperlink" Target="http://www.abs.gov.au/ausstats/abs@.nsf/mf/1329.0" TargetMode="External"/><Relationship Id="rId40" Type="http://schemas.openxmlformats.org/officeDocument/2006/relationships/hyperlink" Target="http://www.abs.gov.au/ausstats/abs@.nsf/mf/4618.0" TargetMode="External"/><Relationship Id="rId45" Type="http://schemas.openxmlformats.org/officeDocument/2006/relationships/hyperlink" Target="http://www.environment.gov.au/water/cewo/publications" TargetMode="External"/><Relationship Id="rId53" Type="http://schemas.openxmlformats.org/officeDocument/2006/relationships/hyperlink" Target="https://doi.org/10.1093/erae/30.1.27" TargetMode="External"/><Relationship Id="rId58" Type="http://schemas.openxmlformats.org/officeDocument/2006/relationships/hyperlink" Target="https://www.waterfind.com.au/"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www.agriculture.gov.au/abares/aclump/land-use/data-download" TargetMode="Externa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agriculture.gov.au/abares/publications/display?url=http://143.188.17.20/anrdl/DAFFService/display.php%3Ffid%3Dpb_agcomd9abcc20170307_0S6mp.xml" TargetMode="External"/><Relationship Id="rId43" Type="http://schemas.openxmlformats.org/officeDocument/2006/relationships/hyperlink" Target="http://www.bom.gov.au/jsp/awap/rain/index.jsp" TargetMode="External"/><Relationship Id="rId48" Type="http://schemas.openxmlformats.org/officeDocument/2006/relationships/hyperlink" Target="http://www.seaci.org/publications/documents/SEACI-2Reports/SEACI_Phase2_SynthesisReport.pdf" TargetMode="External"/><Relationship Id="rId56" Type="http://schemas.openxmlformats.org/officeDocument/2006/relationships/hyperlink" Target="http://nvrm.net.au/seasonal-determination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water.nsw.gov.au/water-management/water-availability/water-accounti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www.agriculture.gov.au/abares/aclump/land-use/data-download" TargetMode="External"/><Relationship Id="rId38" Type="http://schemas.openxmlformats.org/officeDocument/2006/relationships/hyperlink" Target="http://www.abs.gov.au/ausstats/abs@.nsf/mf/4610.0.55.008" TargetMode="External"/><Relationship Id="rId46" Type="http://schemas.openxmlformats.org/officeDocument/2006/relationships/hyperlink" Target="https://www.climatechangeinaustralia.gov.au/media/ccia/2.1.6/cms_page_media/168/CCIA_2015_NRM_TechnicalReport_WEB.pdf" TargetMode="External"/><Relationship Id="rId59" Type="http://schemas.openxmlformats.org/officeDocument/2006/relationships/hyperlink" Target="http://www.waternsw.com.au/customer-service/news/availability" TargetMode="External"/><Relationship Id="rId67" Type="http://schemas.openxmlformats.org/officeDocument/2006/relationships/customXml" Target="../customXml/item3.xml"/><Relationship Id="rId20" Type="http://schemas.openxmlformats.org/officeDocument/2006/relationships/image" Target="media/image5.png"/><Relationship Id="rId41" Type="http://schemas.openxmlformats.org/officeDocument/2006/relationships/hyperlink" Target="http://www.aither.com.au/insights/published/" TargetMode="External"/><Relationship Id="rId54" Type="http://schemas.openxmlformats.org/officeDocument/2006/relationships/hyperlink" Target="http://www.agriculture.gov.au/abares/publications/display?url=http://143.188.17.20/anrdl/DAFFService/display.php?fid=pb_smdwm_d9aawr20161202.xml" TargetMode="Externa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hyperlink" Target="http://www.agriculture.gov.au/abares/research-topics/water/aust-water-markets-reports" TargetMode="External"/><Relationship Id="rId49" Type="http://schemas.openxmlformats.org/officeDocument/2006/relationships/hyperlink" Target="http://waterregister.vic.gov.au/" TargetMode="External"/><Relationship Id="rId57" Type="http://schemas.openxmlformats.org/officeDocument/2006/relationships/hyperlink" Target="https://www.ruralco.com.au" TargetMode="External"/><Relationship Id="rId10" Type="http://schemas.openxmlformats.org/officeDocument/2006/relationships/hyperlink" Target="https://creativecommons.org/licenses/by/4.0/legalcode" TargetMode="External"/><Relationship Id="rId31" Type="http://schemas.openxmlformats.org/officeDocument/2006/relationships/image" Target="media/image14.png"/><Relationship Id="rId44" Type="http://schemas.openxmlformats.org/officeDocument/2006/relationships/hyperlink" Target="http://www.agriculture.gov.au/abares/publications/display?url=http://143.188.17.20/anrdl/DAFFService/display.php?fid=pb_awgfbpd9aasw20131219.xml" TargetMode="External"/><Relationship Id="rId52" Type="http://schemas.openxmlformats.org/officeDocument/2006/relationships/hyperlink" Target="http://www.water.nsw.gov.au/water-management/water-availability/water-accounting" TargetMode="External"/><Relationship Id="rId60" Type="http://schemas.openxmlformats.org/officeDocument/2006/relationships/hyperlink" Target="http://www.bom.gov.au/jsp/awap/rain/index.jsp?colour=colour&amp;time=latest&amp;step=0&amp;map=totals&amp;period=12month&amp;area=na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abs.gov.au/ausstats/abs@.nsf/mf/712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C0442DD74C0844934AEE9D81D269ED" ma:contentTypeVersion="1" ma:contentTypeDescription="Create a new document." ma:contentTypeScope="" ma:versionID="ac9b9e08e8627891613a810d775c67a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DEB332-FE80-4C8B-AEEE-E8BED8DF334B}"/>
</file>

<file path=customXml/itemProps2.xml><?xml version="1.0" encoding="utf-8"?>
<ds:datastoreItem xmlns:ds="http://schemas.openxmlformats.org/officeDocument/2006/customXml" ds:itemID="{E3B9B0DE-E3AD-43E9-95AE-5B13F9BD211F}"/>
</file>

<file path=customXml/itemProps3.xml><?xml version="1.0" encoding="utf-8"?>
<ds:datastoreItem xmlns:ds="http://schemas.openxmlformats.org/officeDocument/2006/customXml" ds:itemID="{9CD9C990-B1B8-481D-874F-4845AB3DE62E}"/>
</file>

<file path=customXml/itemProps4.xml><?xml version="1.0" encoding="utf-8"?>
<ds:datastoreItem xmlns:ds="http://schemas.openxmlformats.org/officeDocument/2006/customXml" ds:itemID="{01B3A66D-C656-42A4-8E0A-B29A7501EB12}"/>
</file>

<file path=docProps/app.xml><?xml version="1.0" encoding="utf-8"?>
<Properties xmlns="http://schemas.openxmlformats.org/officeDocument/2006/extended-properties" xmlns:vt="http://schemas.openxmlformats.org/officeDocument/2006/docPropsVTypes">
  <Template>Normal.dotm</Template>
  <TotalTime>0</TotalTime>
  <Pages>52</Pages>
  <Words>14859</Words>
  <Characters>84698</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2018-02-06T00:51:00Z</dcterms:created>
  <dcterms:modified xsi:type="dcterms:W3CDTF">2018-02-06T00:53:00Z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0x01010050C0442DD74C0844934AEE9D81D269ED</vt:lpwstr>
  </property>
</Properties>
</file>